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BE080" w14:textId="77777777" w:rsidR="005617FD" w:rsidRDefault="005617FD" w:rsidP="00037173">
      <w:pPr>
        <w:spacing w:before="100" w:beforeAutospacing="1" w:after="100" w:afterAutospacing="1" w:line="240" w:lineRule="auto"/>
        <w:outlineLvl w:val="3"/>
        <w:rPr>
          <w:rFonts w:ascii="Times New Roman" w:eastAsia="Times New Roman" w:hAnsi="Times New Roman" w:cs="Times New Roman"/>
          <w:b/>
          <w:bCs/>
          <w:sz w:val="24"/>
          <w:szCs w:val="24"/>
          <w:lang w:eastAsia="en-ZW"/>
        </w:rPr>
      </w:pPr>
      <w:bookmarkStart w:id="0" w:name="_GoBack"/>
      <w:bookmarkEnd w:id="0"/>
    </w:p>
    <w:p w14:paraId="183583C6" w14:textId="77777777" w:rsidR="005617FD" w:rsidRDefault="00037173" w:rsidP="005617FD">
      <w:pPr>
        <w:spacing w:after="0" w:line="240" w:lineRule="auto"/>
        <w:rPr>
          <w:rFonts w:ascii="Times New Roman" w:eastAsia="Times New Roman" w:hAnsi="Times New Roman" w:cs="Times New Roman"/>
          <w:bCs/>
          <w:sz w:val="24"/>
          <w:szCs w:val="24"/>
          <w:lang w:eastAsia="en-ZW"/>
        </w:rPr>
      </w:pPr>
      <w:r w:rsidRPr="005617FD">
        <w:rPr>
          <w:rFonts w:ascii="Times New Roman" w:eastAsia="Times New Roman" w:hAnsi="Times New Roman" w:cs="Times New Roman"/>
          <w:bCs/>
          <w:sz w:val="24"/>
          <w:szCs w:val="24"/>
          <w:lang w:eastAsia="en-ZW"/>
        </w:rPr>
        <w:t>CNBM INTERNATIONAL COMPANY ZIMBABWE (PRIVATE) LIMITED</w:t>
      </w:r>
      <w:r w:rsidRPr="005617FD">
        <w:rPr>
          <w:rFonts w:ascii="Times New Roman" w:eastAsia="Times New Roman" w:hAnsi="Times New Roman" w:cs="Times New Roman"/>
          <w:sz w:val="24"/>
          <w:szCs w:val="24"/>
          <w:lang w:eastAsia="en-ZW"/>
        </w:rPr>
        <w:br/>
      </w:r>
      <w:r w:rsidR="005617FD">
        <w:rPr>
          <w:rFonts w:ascii="Times New Roman" w:eastAsia="Times New Roman" w:hAnsi="Times New Roman" w:cs="Times New Roman"/>
          <w:bCs/>
          <w:sz w:val="24"/>
          <w:szCs w:val="24"/>
          <w:lang w:eastAsia="en-ZW"/>
        </w:rPr>
        <w:t>versus</w:t>
      </w:r>
      <w:r w:rsidRPr="005617FD">
        <w:rPr>
          <w:rFonts w:ascii="Times New Roman" w:eastAsia="Times New Roman" w:hAnsi="Times New Roman" w:cs="Times New Roman"/>
          <w:sz w:val="24"/>
          <w:szCs w:val="24"/>
          <w:lang w:eastAsia="en-ZW"/>
        </w:rPr>
        <w:br/>
      </w:r>
      <w:r w:rsidRPr="005617FD">
        <w:rPr>
          <w:rFonts w:ascii="Times New Roman" w:eastAsia="Times New Roman" w:hAnsi="Times New Roman" w:cs="Times New Roman"/>
          <w:bCs/>
          <w:sz w:val="24"/>
          <w:szCs w:val="24"/>
          <w:lang w:eastAsia="en-ZW"/>
        </w:rPr>
        <w:t xml:space="preserve">WASHINGTON KUSEMAMURIWO </w:t>
      </w:r>
    </w:p>
    <w:p w14:paraId="4817A17B" w14:textId="77777777" w:rsidR="005617FD" w:rsidRDefault="005617FD" w:rsidP="005617FD">
      <w:pPr>
        <w:spacing w:after="0" w:line="240" w:lineRule="auto"/>
        <w:rPr>
          <w:rFonts w:ascii="Times New Roman" w:eastAsia="Times New Roman" w:hAnsi="Times New Roman" w:cs="Times New Roman"/>
          <w:bCs/>
          <w:sz w:val="24"/>
          <w:szCs w:val="24"/>
          <w:lang w:eastAsia="en-ZW"/>
        </w:rPr>
      </w:pPr>
      <w:r>
        <w:rPr>
          <w:rFonts w:ascii="Times New Roman" w:eastAsia="Times New Roman" w:hAnsi="Times New Roman" w:cs="Times New Roman"/>
          <w:bCs/>
          <w:sz w:val="24"/>
          <w:szCs w:val="24"/>
          <w:lang w:eastAsia="en-ZW"/>
        </w:rPr>
        <w:t>and</w:t>
      </w:r>
      <w:r w:rsidR="00037173" w:rsidRPr="005617FD">
        <w:rPr>
          <w:rFonts w:ascii="Times New Roman" w:eastAsia="Times New Roman" w:hAnsi="Times New Roman" w:cs="Times New Roman"/>
          <w:sz w:val="24"/>
          <w:szCs w:val="24"/>
          <w:lang w:eastAsia="en-ZW"/>
        </w:rPr>
        <w:br/>
      </w:r>
      <w:r w:rsidR="00037173" w:rsidRPr="005617FD">
        <w:rPr>
          <w:rFonts w:ascii="Times New Roman" w:eastAsia="Times New Roman" w:hAnsi="Times New Roman" w:cs="Times New Roman"/>
          <w:bCs/>
          <w:sz w:val="24"/>
          <w:szCs w:val="24"/>
          <w:lang w:eastAsia="en-ZW"/>
        </w:rPr>
        <w:t xml:space="preserve">UNIGOLD SOLAR INSTALLATIONS (PRIVATE) LIMITED </w:t>
      </w:r>
    </w:p>
    <w:p w14:paraId="7B710C0D" w14:textId="48169AA4" w:rsidR="00167EEE" w:rsidRDefault="005617FD" w:rsidP="005617FD">
      <w:pPr>
        <w:spacing w:after="0" w:line="240" w:lineRule="auto"/>
        <w:rPr>
          <w:rFonts w:ascii="Times New Roman" w:eastAsia="Times New Roman" w:hAnsi="Times New Roman" w:cs="Times New Roman"/>
          <w:bCs/>
          <w:sz w:val="24"/>
          <w:szCs w:val="24"/>
          <w:lang w:eastAsia="en-ZW"/>
        </w:rPr>
      </w:pPr>
      <w:r>
        <w:rPr>
          <w:rFonts w:ascii="Times New Roman" w:eastAsia="Times New Roman" w:hAnsi="Times New Roman" w:cs="Times New Roman"/>
          <w:bCs/>
          <w:sz w:val="24"/>
          <w:szCs w:val="24"/>
          <w:lang w:eastAsia="en-ZW"/>
        </w:rPr>
        <w:t>and</w:t>
      </w:r>
      <w:r w:rsidR="00037173" w:rsidRPr="005617FD">
        <w:rPr>
          <w:rFonts w:ascii="Times New Roman" w:eastAsia="Times New Roman" w:hAnsi="Times New Roman" w:cs="Times New Roman"/>
          <w:sz w:val="24"/>
          <w:szCs w:val="24"/>
          <w:lang w:eastAsia="en-ZW"/>
        </w:rPr>
        <w:br/>
      </w:r>
      <w:r w:rsidR="00037173" w:rsidRPr="005617FD">
        <w:rPr>
          <w:rFonts w:ascii="Times New Roman" w:eastAsia="Times New Roman" w:hAnsi="Times New Roman" w:cs="Times New Roman"/>
          <w:bCs/>
          <w:sz w:val="24"/>
          <w:szCs w:val="24"/>
          <w:lang w:eastAsia="en-ZW"/>
        </w:rPr>
        <w:t>KINGSTONE NHIRA</w:t>
      </w:r>
    </w:p>
    <w:p w14:paraId="517E1492" w14:textId="77777777" w:rsidR="003E77B3" w:rsidRDefault="003E77B3" w:rsidP="005617FD">
      <w:pPr>
        <w:spacing w:after="0" w:line="240" w:lineRule="auto"/>
        <w:rPr>
          <w:rFonts w:ascii="Times New Roman" w:eastAsia="Times New Roman" w:hAnsi="Times New Roman" w:cs="Times New Roman"/>
          <w:bCs/>
          <w:sz w:val="24"/>
          <w:szCs w:val="24"/>
          <w:lang w:eastAsia="en-ZW"/>
        </w:rPr>
      </w:pPr>
    </w:p>
    <w:p w14:paraId="6CE7F3C9" w14:textId="77777777" w:rsidR="003E77B3" w:rsidRDefault="003E77B3" w:rsidP="005617FD">
      <w:pPr>
        <w:spacing w:after="0" w:line="240" w:lineRule="auto"/>
        <w:rPr>
          <w:rFonts w:ascii="Times New Roman" w:eastAsia="Times New Roman" w:hAnsi="Times New Roman" w:cs="Times New Roman"/>
          <w:bCs/>
          <w:sz w:val="24"/>
          <w:szCs w:val="24"/>
          <w:lang w:eastAsia="en-ZW"/>
        </w:rPr>
      </w:pPr>
    </w:p>
    <w:p w14:paraId="46EDF620" w14:textId="77777777" w:rsidR="003E77B3" w:rsidRPr="0031222A" w:rsidRDefault="003E77B3" w:rsidP="003E77B3">
      <w:pPr>
        <w:spacing w:after="0" w:line="240" w:lineRule="auto"/>
        <w:jc w:val="both"/>
        <w:rPr>
          <w:rFonts w:ascii="Times New Roman" w:eastAsia="Times New Roman" w:hAnsi="Times New Roman" w:cs="Times New Roman"/>
          <w:sz w:val="24"/>
          <w:szCs w:val="24"/>
          <w:lang w:eastAsia="en-ZW"/>
        </w:rPr>
      </w:pPr>
      <w:r w:rsidRPr="0031222A">
        <w:rPr>
          <w:rFonts w:ascii="Times New Roman" w:eastAsia="Times New Roman" w:hAnsi="Times New Roman" w:cs="Times New Roman"/>
          <w:sz w:val="24"/>
          <w:szCs w:val="24"/>
          <w:lang w:eastAsia="en-ZW"/>
        </w:rPr>
        <w:t>HIGH COURT OF ZIMBABWE</w:t>
      </w:r>
    </w:p>
    <w:p w14:paraId="3207FB99" w14:textId="5E22E46F" w:rsidR="003E77B3" w:rsidRPr="0031222A" w:rsidRDefault="003E77B3" w:rsidP="003E77B3">
      <w:pPr>
        <w:spacing w:after="0" w:line="240" w:lineRule="auto"/>
        <w:jc w:val="both"/>
        <w:rPr>
          <w:rFonts w:ascii="Times New Roman" w:eastAsia="Times New Roman" w:hAnsi="Times New Roman" w:cs="Times New Roman"/>
          <w:sz w:val="24"/>
          <w:szCs w:val="24"/>
          <w:lang w:eastAsia="en-ZW"/>
        </w:rPr>
      </w:pPr>
      <w:r w:rsidRPr="0031222A">
        <w:rPr>
          <w:rFonts w:ascii="Times New Roman" w:eastAsia="Times New Roman" w:hAnsi="Times New Roman" w:cs="Times New Roman"/>
          <w:sz w:val="24"/>
          <w:szCs w:val="24"/>
          <w:lang w:eastAsia="en-ZW"/>
        </w:rPr>
        <w:t>MAMBARA J</w:t>
      </w:r>
    </w:p>
    <w:p w14:paraId="774BEB7A" w14:textId="1CF2CC8B" w:rsidR="003E77B3" w:rsidRDefault="003E77B3" w:rsidP="003E77B3">
      <w:pPr>
        <w:spacing w:after="0" w:line="240" w:lineRule="auto"/>
        <w:jc w:val="both"/>
        <w:rPr>
          <w:rFonts w:ascii="Times New Roman" w:eastAsia="Times New Roman" w:hAnsi="Times New Roman" w:cs="Times New Roman"/>
          <w:sz w:val="24"/>
          <w:szCs w:val="24"/>
          <w:lang w:eastAsia="en-ZW"/>
        </w:rPr>
      </w:pPr>
      <w:r w:rsidRPr="0031222A">
        <w:rPr>
          <w:rFonts w:ascii="Times New Roman" w:eastAsia="Times New Roman" w:hAnsi="Times New Roman" w:cs="Times New Roman"/>
          <w:sz w:val="24"/>
          <w:szCs w:val="24"/>
          <w:lang w:eastAsia="en-ZW"/>
        </w:rPr>
        <w:t>HARARE</w:t>
      </w:r>
      <w:r>
        <w:rPr>
          <w:rFonts w:ascii="Times New Roman" w:eastAsia="Times New Roman" w:hAnsi="Times New Roman" w:cs="Times New Roman"/>
          <w:sz w:val="24"/>
          <w:szCs w:val="24"/>
          <w:lang w:eastAsia="en-ZW"/>
        </w:rPr>
        <w:t>,</w:t>
      </w:r>
      <w:r w:rsidRPr="0031222A">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15 &amp;</w:t>
      </w:r>
      <w:r w:rsidRPr="0031222A">
        <w:rPr>
          <w:rFonts w:ascii="Times New Roman" w:eastAsia="Times New Roman" w:hAnsi="Times New Roman" w:cs="Times New Roman"/>
          <w:sz w:val="24"/>
          <w:szCs w:val="24"/>
          <w:lang w:eastAsia="en-ZW"/>
        </w:rPr>
        <w:t xml:space="preserve"> </w:t>
      </w:r>
      <w:r w:rsidR="00A122F3">
        <w:rPr>
          <w:rFonts w:ascii="Times New Roman" w:eastAsia="Times New Roman" w:hAnsi="Times New Roman" w:cs="Times New Roman"/>
          <w:sz w:val="24"/>
          <w:szCs w:val="24"/>
          <w:lang w:eastAsia="en-ZW"/>
        </w:rPr>
        <w:t>20</w:t>
      </w:r>
      <w:r w:rsidRPr="0031222A">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August</w:t>
      </w:r>
      <w:r w:rsidRPr="0031222A">
        <w:rPr>
          <w:rFonts w:ascii="Times New Roman" w:eastAsia="Times New Roman" w:hAnsi="Times New Roman" w:cs="Times New Roman"/>
          <w:sz w:val="24"/>
          <w:szCs w:val="24"/>
          <w:lang w:eastAsia="en-ZW"/>
        </w:rPr>
        <w:t xml:space="preserve"> 2024</w:t>
      </w:r>
    </w:p>
    <w:p w14:paraId="3695B1CA" w14:textId="77777777" w:rsidR="003E77B3" w:rsidRDefault="003E77B3" w:rsidP="003E77B3">
      <w:pPr>
        <w:spacing w:after="0" w:line="240" w:lineRule="auto"/>
        <w:jc w:val="both"/>
        <w:rPr>
          <w:rFonts w:ascii="Times New Roman" w:eastAsia="Times New Roman" w:hAnsi="Times New Roman" w:cs="Times New Roman"/>
          <w:sz w:val="24"/>
          <w:szCs w:val="24"/>
          <w:lang w:eastAsia="en-ZW"/>
        </w:rPr>
      </w:pPr>
    </w:p>
    <w:p w14:paraId="682FC266" w14:textId="77777777" w:rsidR="00807AC4" w:rsidRDefault="00807AC4" w:rsidP="003E77B3">
      <w:pPr>
        <w:spacing w:after="0" w:line="240" w:lineRule="auto"/>
        <w:jc w:val="both"/>
        <w:rPr>
          <w:rFonts w:ascii="Times New Roman" w:eastAsia="Times New Roman" w:hAnsi="Times New Roman" w:cs="Times New Roman"/>
          <w:sz w:val="24"/>
          <w:szCs w:val="24"/>
          <w:lang w:eastAsia="en-ZW"/>
        </w:rPr>
      </w:pPr>
    </w:p>
    <w:p w14:paraId="048EE0EA" w14:textId="10AC750C" w:rsidR="00037173" w:rsidRDefault="00363708" w:rsidP="00807AC4">
      <w:pPr>
        <w:spacing w:after="0" w:line="240" w:lineRule="auto"/>
        <w:jc w:val="both"/>
        <w:outlineLvl w:val="3"/>
        <w:rPr>
          <w:rFonts w:ascii="Times New Roman" w:eastAsia="Times New Roman" w:hAnsi="Times New Roman" w:cs="Times New Roman"/>
          <w:b/>
          <w:bCs/>
          <w:sz w:val="24"/>
          <w:szCs w:val="24"/>
          <w:lang w:eastAsia="en-ZW"/>
        </w:rPr>
      </w:pPr>
      <w:r w:rsidRPr="003E77B3">
        <w:rPr>
          <w:rFonts w:ascii="Times New Roman" w:eastAsia="Times New Roman" w:hAnsi="Times New Roman" w:cs="Times New Roman"/>
          <w:b/>
          <w:bCs/>
          <w:sz w:val="24"/>
          <w:szCs w:val="24"/>
          <w:lang w:eastAsia="en-ZW"/>
        </w:rPr>
        <w:t xml:space="preserve">Opposed </w:t>
      </w:r>
      <w:r w:rsidR="003E77B3">
        <w:rPr>
          <w:rFonts w:ascii="Times New Roman" w:eastAsia="Times New Roman" w:hAnsi="Times New Roman" w:cs="Times New Roman"/>
          <w:b/>
          <w:bCs/>
          <w:sz w:val="24"/>
          <w:szCs w:val="24"/>
          <w:lang w:eastAsia="en-ZW"/>
        </w:rPr>
        <w:t>A</w:t>
      </w:r>
      <w:r w:rsidRPr="003E77B3">
        <w:rPr>
          <w:rFonts w:ascii="Times New Roman" w:eastAsia="Times New Roman" w:hAnsi="Times New Roman" w:cs="Times New Roman"/>
          <w:b/>
          <w:bCs/>
          <w:sz w:val="24"/>
          <w:szCs w:val="24"/>
          <w:lang w:eastAsia="en-ZW"/>
        </w:rPr>
        <w:t>pplication</w:t>
      </w:r>
    </w:p>
    <w:p w14:paraId="0D2C891D" w14:textId="77777777" w:rsidR="003E77B3" w:rsidRDefault="003E77B3" w:rsidP="00807AC4">
      <w:pPr>
        <w:spacing w:after="0" w:line="240" w:lineRule="auto"/>
        <w:jc w:val="both"/>
        <w:outlineLvl w:val="3"/>
        <w:rPr>
          <w:rFonts w:ascii="Times New Roman" w:eastAsia="Times New Roman" w:hAnsi="Times New Roman" w:cs="Times New Roman"/>
          <w:b/>
          <w:bCs/>
          <w:sz w:val="24"/>
          <w:szCs w:val="24"/>
          <w:lang w:eastAsia="en-ZW"/>
        </w:rPr>
      </w:pPr>
    </w:p>
    <w:p w14:paraId="7CB53C82" w14:textId="77777777" w:rsidR="00807AC4" w:rsidRDefault="00807AC4" w:rsidP="00807AC4">
      <w:pPr>
        <w:spacing w:after="0" w:line="240" w:lineRule="auto"/>
        <w:jc w:val="both"/>
        <w:outlineLvl w:val="3"/>
        <w:rPr>
          <w:rFonts w:ascii="Times New Roman" w:eastAsia="Times New Roman" w:hAnsi="Times New Roman" w:cs="Times New Roman"/>
          <w:b/>
          <w:bCs/>
          <w:sz w:val="24"/>
          <w:szCs w:val="24"/>
          <w:lang w:eastAsia="en-ZW"/>
        </w:rPr>
      </w:pPr>
    </w:p>
    <w:p w14:paraId="2E98FC5A" w14:textId="4EFF6C54" w:rsidR="00167EEE" w:rsidRPr="005617FD" w:rsidRDefault="001A50C4" w:rsidP="00807AC4">
      <w:pPr>
        <w:spacing w:after="0" w:line="240" w:lineRule="auto"/>
        <w:jc w:val="both"/>
        <w:outlineLvl w:val="3"/>
        <w:rPr>
          <w:rFonts w:ascii="Times New Roman" w:eastAsia="Times New Roman" w:hAnsi="Times New Roman" w:cs="Times New Roman"/>
          <w:bCs/>
          <w:sz w:val="24"/>
          <w:szCs w:val="24"/>
          <w:lang w:eastAsia="en-ZW"/>
        </w:rPr>
      </w:pPr>
      <w:r w:rsidRPr="00807AC4">
        <w:rPr>
          <w:rFonts w:ascii="Times New Roman" w:eastAsia="Times New Roman" w:hAnsi="Times New Roman" w:cs="Times New Roman"/>
          <w:bCs/>
          <w:i/>
          <w:sz w:val="24"/>
          <w:szCs w:val="24"/>
          <w:lang w:eastAsia="en-ZW"/>
        </w:rPr>
        <w:t>C</w:t>
      </w:r>
      <w:r w:rsidR="00807AC4" w:rsidRPr="00807AC4">
        <w:rPr>
          <w:rFonts w:ascii="Times New Roman" w:eastAsia="Times New Roman" w:hAnsi="Times New Roman" w:cs="Times New Roman"/>
          <w:bCs/>
          <w:i/>
          <w:sz w:val="24"/>
          <w:szCs w:val="24"/>
          <w:lang w:eastAsia="en-ZW"/>
        </w:rPr>
        <w:t xml:space="preserve"> </w:t>
      </w:r>
      <w:r w:rsidRPr="00807AC4">
        <w:rPr>
          <w:rFonts w:ascii="Times New Roman" w:eastAsia="Times New Roman" w:hAnsi="Times New Roman" w:cs="Times New Roman"/>
          <w:bCs/>
          <w:i/>
          <w:sz w:val="24"/>
          <w:szCs w:val="24"/>
          <w:lang w:eastAsia="en-ZW"/>
        </w:rPr>
        <w:t>Chabvepi</w:t>
      </w:r>
      <w:r w:rsidR="00807AC4">
        <w:rPr>
          <w:rFonts w:ascii="Times New Roman" w:eastAsia="Times New Roman" w:hAnsi="Times New Roman" w:cs="Times New Roman"/>
          <w:bCs/>
          <w:sz w:val="24"/>
          <w:szCs w:val="24"/>
          <w:lang w:eastAsia="en-ZW"/>
        </w:rPr>
        <w:t>,</w:t>
      </w:r>
      <w:r w:rsidR="00167EEE" w:rsidRPr="005617FD">
        <w:rPr>
          <w:rFonts w:ascii="Times New Roman" w:eastAsia="Times New Roman" w:hAnsi="Times New Roman" w:cs="Times New Roman"/>
          <w:bCs/>
          <w:sz w:val="24"/>
          <w:szCs w:val="24"/>
          <w:lang w:eastAsia="en-ZW"/>
        </w:rPr>
        <w:t xml:space="preserve"> </w:t>
      </w:r>
      <w:r w:rsidRPr="005617FD">
        <w:rPr>
          <w:rFonts w:ascii="Times New Roman" w:eastAsia="Times New Roman" w:hAnsi="Times New Roman" w:cs="Times New Roman"/>
          <w:bCs/>
          <w:sz w:val="24"/>
          <w:szCs w:val="24"/>
          <w:lang w:eastAsia="en-ZW"/>
        </w:rPr>
        <w:t>f</w:t>
      </w:r>
      <w:r w:rsidR="00167EEE" w:rsidRPr="005617FD">
        <w:rPr>
          <w:rFonts w:ascii="Times New Roman" w:eastAsia="Times New Roman" w:hAnsi="Times New Roman" w:cs="Times New Roman"/>
          <w:bCs/>
          <w:sz w:val="24"/>
          <w:szCs w:val="24"/>
          <w:lang w:eastAsia="en-ZW"/>
        </w:rPr>
        <w:t xml:space="preserve">or the </w:t>
      </w:r>
      <w:r w:rsidRPr="005617FD">
        <w:rPr>
          <w:rFonts w:ascii="Times New Roman" w:eastAsia="Times New Roman" w:hAnsi="Times New Roman" w:cs="Times New Roman"/>
          <w:bCs/>
          <w:sz w:val="24"/>
          <w:szCs w:val="24"/>
          <w:lang w:eastAsia="en-ZW"/>
        </w:rPr>
        <w:t>plaintiff</w:t>
      </w:r>
    </w:p>
    <w:p w14:paraId="11265C17" w14:textId="77777777" w:rsidR="00807AC4" w:rsidRDefault="00167EEE" w:rsidP="00807AC4">
      <w:pPr>
        <w:spacing w:after="0" w:line="240" w:lineRule="auto"/>
        <w:jc w:val="both"/>
        <w:outlineLvl w:val="3"/>
        <w:rPr>
          <w:rFonts w:ascii="Times New Roman" w:eastAsia="Times New Roman" w:hAnsi="Times New Roman" w:cs="Times New Roman"/>
          <w:bCs/>
          <w:sz w:val="24"/>
          <w:szCs w:val="24"/>
          <w:lang w:eastAsia="en-ZW"/>
        </w:rPr>
      </w:pPr>
      <w:r w:rsidRPr="005617FD">
        <w:rPr>
          <w:rFonts w:ascii="Times New Roman" w:eastAsia="Times New Roman" w:hAnsi="Times New Roman" w:cs="Times New Roman"/>
          <w:bCs/>
          <w:sz w:val="24"/>
          <w:szCs w:val="24"/>
          <w:lang w:eastAsia="en-ZW"/>
        </w:rPr>
        <w:t xml:space="preserve"> </w:t>
      </w:r>
      <w:r w:rsidR="001A50C4" w:rsidRPr="00807AC4">
        <w:rPr>
          <w:rFonts w:ascii="Times New Roman" w:eastAsia="Times New Roman" w:hAnsi="Times New Roman" w:cs="Times New Roman"/>
          <w:bCs/>
          <w:i/>
          <w:sz w:val="24"/>
          <w:szCs w:val="24"/>
          <w:lang w:eastAsia="en-ZW"/>
        </w:rPr>
        <w:t>P Mapiye</w:t>
      </w:r>
      <w:r w:rsidR="00807AC4">
        <w:rPr>
          <w:rFonts w:ascii="Times New Roman" w:eastAsia="Times New Roman" w:hAnsi="Times New Roman" w:cs="Times New Roman"/>
          <w:bCs/>
          <w:sz w:val="24"/>
          <w:szCs w:val="24"/>
          <w:lang w:eastAsia="en-ZW"/>
        </w:rPr>
        <w:t>,</w:t>
      </w:r>
      <w:r w:rsidR="001A50C4" w:rsidRPr="005617FD">
        <w:rPr>
          <w:rFonts w:ascii="Times New Roman" w:eastAsia="Times New Roman" w:hAnsi="Times New Roman" w:cs="Times New Roman"/>
          <w:bCs/>
          <w:sz w:val="24"/>
          <w:szCs w:val="24"/>
          <w:lang w:eastAsia="en-ZW"/>
        </w:rPr>
        <w:t xml:space="preserve"> f</w:t>
      </w:r>
      <w:r w:rsidRPr="005617FD">
        <w:rPr>
          <w:rFonts w:ascii="Times New Roman" w:eastAsia="Times New Roman" w:hAnsi="Times New Roman" w:cs="Times New Roman"/>
          <w:bCs/>
          <w:sz w:val="24"/>
          <w:szCs w:val="24"/>
          <w:lang w:eastAsia="en-ZW"/>
        </w:rPr>
        <w:t>o</w:t>
      </w:r>
      <w:r w:rsidR="009273FB" w:rsidRPr="005617FD">
        <w:rPr>
          <w:rFonts w:ascii="Times New Roman" w:eastAsia="Times New Roman" w:hAnsi="Times New Roman" w:cs="Times New Roman"/>
          <w:bCs/>
          <w:sz w:val="24"/>
          <w:szCs w:val="24"/>
          <w:lang w:eastAsia="en-ZW"/>
        </w:rPr>
        <w:t xml:space="preserve">r </w:t>
      </w:r>
      <w:r w:rsidR="001A50C4" w:rsidRPr="005617FD">
        <w:rPr>
          <w:rFonts w:ascii="Times New Roman" w:eastAsia="Times New Roman" w:hAnsi="Times New Roman" w:cs="Times New Roman"/>
          <w:bCs/>
          <w:sz w:val="24"/>
          <w:szCs w:val="24"/>
          <w:lang w:eastAsia="en-ZW"/>
        </w:rPr>
        <w:t>2</w:t>
      </w:r>
      <w:r w:rsidR="001A50C4" w:rsidRPr="005617FD">
        <w:rPr>
          <w:rFonts w:ascii="Times New Roman" w:eastAsia="Times New Roman" w:hAnsi="Times New Roman" w:cs="Times New Roman"/>
          <w:bCs/>
          <w:sz w:val="24"/>
          <w:szCs w:val="24"/>
          <w:vertAlign w:val="superscript"/>
          <w:lang w:eastAsia="en-ZW"/>
        </w:rPr>
        <w:t>nd</w:t>
      </w:r>
      <w:r w:rsidR="001A50C4" w:rsidRPr="005617FD">
        <w:rPr>
          <w:rFonts w:ascii="Times New Roman" w:eastAsia="Times New Roman" w:hAnsi="Times New Roman" w:cs="Times New Roman"/>
          <w:bCs/>
          <w:sz w:val="24"/>
          <w:szCs w:val="24"/>
          <w:lang w:eastAsia="en-ZW"/>
        </w:rPr>
        <w:t xml:space="preserve"> and 3</w:t>
      </w:r>
      <w:r w:rsidR="001A50C4" w:rsidRPr="005617FD">
        <w:rPr>
          <w:rFonts w:ascii="Times New Roman" w:eastAsia="Times New Roman" w:hAnsi="Times New Roman" w:cs="Times New Roman"/>
          <w:bCs/>
          <w:sz w:val="24"/>
          <w:szCs w:val="24"/>
          <w:vertAlign w:val="superscript"/>
          <w:lang w:eastAsia="en-ZW"/>
        </w:rPr>
        <w:t>rd</w:t>
      </w:r>
      <w:r w:rsidR="001A50C4" w:rsidRPr="005617FD">
        <w:rPr>
          <w:rFonts w:ascii="Times New Roman" w:eastAsia="Times New Roman" w:hAnsi="Times New Roman" w:cs="Times New Roman"/>
          <w:bCs/>
          <w:sz w:val="24"/>
          <w:szCs w:val="24"/>
          <w:lang w:eastAsia="en-ZW"/>
        </w:rPr>
        <w:t xml:space="preserve"> defendants</w:t>
      </w:r>
    </w:p>
    <w:p w14:paraId="411CBADD" w14:textId="77777777" w:rsidR="00807AC4" w:rsidRDefault="00807AC4" w:rsidP="00807AC4">
      <w:pPr>
        <w:spacing w:after="0" w:line="240" w:lineRule="auto"/>
        <w:jc w:val="both"/>
        <w:outlineLvl w:val="3"/>
        <w:rPr>
          <w:rFonts w:ascii="Times New Roman" w:eastAsia="Times New Roman" w:hAnsi="Times New Roman" w:cs="Times New Roman"/>
          <w:bCs/>
          <w:sz w:val="24"/>
          <w:szCs w:val="24"/>
          <w:lang w:eastAsia="en-ZW"/>
        </w:rPr>
      </w:pPr>
    </w:p>
    <w:p w14:paraId="06398854" w14:textId="77777777" w:rsidR="00807AC4" w:rsidRDefault="00807AC4" w:rsidP="00807AC4">
      <w:pPr>
        <w:spacing w:after="0" w:line="240" w:lineRule="auto"/>
        <w:jc w:val="both"/>
        <w:outlineLvl w:val="3"/>
        <w:rPr>
          <w:rFonts w:ascii="Times New Roman" w:eastAsia="Times New Roman" w:hAnsi="Times New Roman" w:cs="Times New Roman"/>
          <w:bCs/>
          <w:sz w:val="24"/>
          <w:szCs w:val="24"/>
          <w:lang w:eastAsia="en-ZW"/>
        </w:rPr>
      </w:pPr>
    </w:p>
    <w:p w14:paraId="1D9C50AE" w14:textId="77777777" w:rsidR="00807AC4" w:rsidRDefault="00807AC4" w:rsidP="00807AC4">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b/>
          <w:bCs/>
          <w:sz w:val="24"/>
          <w:szCs w:val="24"/>
          <w:lang w:eastAsia="en-ZW"/>
        </w:rPr>
        <w:tab/>
      </w:r>
      <w:r w:rsidR="003F6E03" w:rsidRPr="00BE4EE6">
        <w:rPr>
          <w:rFonts w:ascii="Times New Roman" w:eastAsia="Times New Roman" w:hAnsi="Times New Roman" w:cs="Times New Roman"/>
          <w:bCs/>
          <w:sz w:val="24"/>
          <w:szCs w:val="24"/>
          <w:lang w:eastAsia="en-ZW"/>
        </w:rPr>
        <w:t>M</w:t>
      </w:r>
      <w:r w:rsidR="002F0930" w:rsidRPr="00BE4EE6">
        <w:rPr>
          <w:rFonts w:ascii="Times New Roman" w:eastAsia="Times New Roman" w:hAnsi="Times New Roman" w:cs="Times New Roman"/>
          <w:bCs/>
          <w:sz w:val="24"/>
          <w:szCs w:val="24"/>
          <w:lang w:eastAsia="en-ZW"/>
        </w:rPr>
        <w:t>AMBARA</w:t>
      </w:r>
      <w:r w:rsidR="003F6E03" w:rsidRPr="00BE4EE6">
        <w:rPr>
          <w:rFonts w:ascii="Times New Roman" w:eastAsia="Times New Roman" w:hAnsi="Times New Roman" w:cs="Times New Roman"/>
          <w:bCs/>
          <w:sz w:val="24"/>
          <w:szCs w:val="24"/>
          <w:lang w:eastAsia="en-ZW"/>
        </w:rPr>
        <w:t xml:space="preserve"> J</w:t>
      </w:r>
      <w:r w:rsidR="003F6E03">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w:t>
      </w:r>
      <w:r w:rsidR="003F6E03">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This matter is brought before the High Court of Zimbabwe by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CNBM International Company Zimbabwe (Private) Limited, under the common law remedy of </w:t>
      </w:r>
      <w:r w:rsidR="00037173" w:rsidRPr="00037173">
        <w:rPr>
          <w:rFonts w:ascii="Times New Roman" w:eastAsia="Times New Roman" w:hAnsi="Times New Roman" w:cs="Times New Roman"/>
          <w:i/>
          <w:iCs/>
          <w:sz w:val="24"/>
          <w:szCs w:val="24"/>
          <w:lang w:eastAsia="en-ZW"/>
        </w:rPr>
        <w:t>condictio furtiva</w:t>
      </w:r>
      <w:r w:rsidR="00037173" w:rsidRPr="00037173">
        <w:rPr>
          <w:rFonts w:ascii="Times New Roman" w:eastAsia="Times New Roman" w:hAnsi="Times New Roman" w:cs="Times New Roman"/>
          <w:sz w:val="24"/>
          <w:szCs w:val="24"/>
          <w:lang w:eastAsia="en-ZW"/>
        </w:rPr>
        <w:t xml:space="preserve">.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 seeks to recover the value of solar electrical equipment, total</w:t>
      </w:r>
      <w:r w:rsidR="003F6E03">
        <w:rPr>
          <w:rFonts w:ascii="Times New Roman" w:eastAsia="Times New Roman" w:hAnsi="Times New Roman" w:cs="Times New Roman"/>
          <w:sz w:val="24"/>
          <w:szCs w:val="24"/>
          <w:lang w:eastAsia="en-ZW"/>
        </w:rPr>
        <w:t>l</w:t>
      </w:r>
      <w:r w:rsidR="00037173" w:rsidRPr="00037173">
        <w:rPr>
          <w:rFonts w:ascii="Times New Roman" w:eastAsia="Times New Roman" w:hAnsi="Times New Roman" w:cs="Times New Roman"/>
          <w:sz w:val="24"/>
          <w:szCs w:val="24"/>
          <w:lang w:eastAsia="en-ZW"/>
        </w:rPr>
        <w:t>ing US</w:t>
      </w:r>
      <w:r>
        <w:rPr>
          <w:rFonts w:ascii="Times New Roman" w:eastAsia="Times New Roman" w:hAnsi="Times New Roman" w:cs="Times New Roman"/>
          <w:sz w:val="24"/>
          <w:szCs w:val="24"/>
          <w:lang w:eastAsia="en-ZW"/>
        </w:rPr>
        <w:t>$37 578</w:t>
      </w:r>
      <w:r w:rsidR="00037173" w:rsidRPr="00037173">
        <w:rPr>
          <w:rFonts w:ascii="Times New Roman" w:eastAsia="Times New Roman" w:hAnsi="Times New Roman" w:cs="Times New Roman"/>
          <w:sz w:val="24"/>
          <w:szCs w:val="24"/>
          <w:lang w:eastAsia="en-ZW"/>
        </w:rPr>
        <w:t xml:space="preserve">, allegedly stolen by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The legal framework of this case revolves around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laintiff's right to reclaim stolen</w:t>
      </w:r>
      <w:r>
        <w:rPr>
          <w:rFonts w:ascii="Times New Roman" w:eastAsia="Times New Roman" w:hAnsi="Times New Roman" w:cs="Times New Roman"/>
          <w:sz w:val="24"/>
          <w:szCs w:val="24"/>
          <w:lang w:eastAsia="en-ZW"/>
        </w:rPr>
        <w:t xml:space="preserve"> property or its value and the 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contention </w:t>
      </w:r>
      <w:r w:rsidR="00ED6AEB">
        <w:rPr>
          <w:rFonts w:ascii="Times New Roman" w:eastAsia="Times New Roman" w:hAnsi="Times New Roman" w:cs="Times New Roman"/>
          <w:sz w:val="24"/>
          <w:szCs w:val="24"/>
          <w:lang w:eastAsia="en-ZW"/>
        </w:rPr>
        <w:t xml:space="preserve">is </w:t>
      </w:r>
      <w:r w:rsidR="00037173" w:rsidRPr="00037173">
        <w:rPr>
          <w:rFonts w:ascii="Times New Roman" w:eastAsia="Times New Roman" w:hAnsi="Times New Roman" w:cs="Times New Roman"/>
          <w:sz w:val="24"/>
          <w:szCs w:val="24"/>
          <w:lang w:eastAsia="en-ZW"/>
        </w:rPr>
        <w:t>that the High Court lacks jurisdiction to entertain this matter.</w:t>
      </w:r>
    </w:p>
    <w:p w14:paraId="01F7AA71" w14:textId="4D9D46E4" w:rsidR="0037596D" w:rsidRDefault="0037596D" w:rsidP="0037596D">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sidR="00ED6AEB">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have raised a special plea. They argue that the proper forum for this case is either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due to its monetary jurisdiction, or the Commercial Division of the High Court, due to the commercial nature of the dispute.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challenge is based on the provisions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(Civil Jurisdiction) (Monetary Limits) Rules, 2023, as well as the High Court (Commercial Division) Rules, 2020.</w:t>
      </w:r>
    </w:p>
    <w:p w14:paraId="09F03D52" w14:textId="77777777" w:rsidR="0037596D" w:rsidRDefault="0037596D" w:rsidP="0037596D">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Th</w:t>
      </w:r>
      <w:r w:rsidR="00ED6AEB">
        <w:rPr>
          <w:rFonts w:ascii="Times New Roman" w:eastAsia="Times New Roman" w:hAnsi="Times New Roman" w:cs="Times New Roman"/>
          <w:sz w:val="24"/>
          <w:szCs w:val="24"/>
          <w:lang w:eastAsia="en-ZW"/>
        </w:rPr>
        <w:t xml:space="preserve">e </w:t>
      </w:r>
      <w:r w:rsidR="00037173" w:rsidRPr="00037173">
        <w:rPr>
          <w:rFonts w:ascii="Times New Roman" w:eastAsia="Times New Roman" w:hAnsi="Times New Roman" w:cs="Times New Roman"/>
          <w:sz w:val="24"/>
          <w:szCs w:val="24"/>
          <w:lang w:eastAsia="en-ZW"/>
        </w:rPr>
        <w:t>core issue</w:t>
      </w:r>
      <w:r w:rsidR="00ED6AEB">
        <w:rPr>
          <w:rFonts w:ascii="Times New Roman" w:eastAsia="Times New Roman" w:hAnsi="Times New Roman" w:cs="Times New Roman"/>
          <w:sz w:val="24"/>
          <w:szCs w:val="24"/>
          <w:lang w:eastAsia="en-ZW"/>
        </w:rPr>
        <w:t xml:space="preserve"> in this matter is </w:t>
      </w:r>
      <w:r w:rsidR="00037173" w:rsidRPr="00037173">
        <w:rPr>
          <w:rFonts w:ascii="Times New Roman" w:eastAsia="Times New Roman" w:hAnsi="Times New Roman" w:cs="Times New Roman"/>
          <w:sz w:val="24"/>
          <w:szCs w:val="24"/>
          <w:lang w:eastAsia="en-ZW"/>
        </w:rPr>
        <w:t>whether the High Court, sitting in its Civil Division, possesses the jurisdiction to adjudicate this dispute. The resolution of this issue is crucial for determining the appropriate forum for this matter</w:t>
      </w:r>
      <w:r w:rsidR="00ED6AEB">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w:t>
      </w:r>
    </w:p>
    <w:p w14:paraId="7FCB9CB6" w14:textId="77777777" w:rsidR="0037596D" w:rsidRDefault="0037596D" w:rsidP="0037596D">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CNBM International Company Zimbabwe (Private) Limited, is a company duly incorporated in Zimbabwe.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alleges that between November 2022 and April 2023,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unlawfully removed various solar electrical equipment from its </w:t>
      </w:r>
      <w:r w:rsidR="00037173" w:rsidRPr="00037173">
        <w:rPr>
          <w:rFonts w:ascii="Times New Roman" w:eastAsia="Times New Roman" w:hAnsi="Times New Roman" w:cs="Times New Roman"/>
          <w:sz w:val="24"/>
          <w:szCs w:val="24"/>
          <w:lang w:eastAsia="en-ZW"/>
        </w:rPr>
        <w:lastRenderedPageBreak/>
        <w:t xml:space="preserve">premises. These goods were taken without payment and with the intent to permanently deprive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of its property. The stolen items include solar panels, batteries, and inverters, all of which are crucial to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laintiff's business operations.</w:t>
      </w:r>
    </w:p>
    <w:p w14:paraId="20198EBD" w14:textId="77777777" w:rsidR="0037596D" w:rsidRDefault="0037596D" w:rsidP="0037596D">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initiated legal proceedings in the High Court, seeking relief under the doctrine of </w:t>
      </w:r>
      <w:r w:rsidR="00037173" w:rsidRPr="00037173">
        <w:rPr>
          <w:rFonts w:ascii="Times New Roman" w:eastAsia="Times New Roman" w:hAnsi="Times New Roman" w:cs="Times New Roman"/>
          <w:i/>
          <w:iCs/>
          <w:sz w:val="24"/>
          <w:szCs w:val="24"/>
          <w:lang w:eastAsia="en-ZW"/>
        </w:rPr>
        <w:t>condictio furtiva</w:t>
      </w:r>
      <w:r w:rsidR="00037173" w:rsidRPr="00037173">
        <w:rPr>
          <w:rFonts w:ascii="Times New Roman" w:eastAsia="Times New Roman" w:hAnsi="Times New Roman" w:cs="Times New Roman"/>
          <w:sz w:val="24"/>
          <w:szCs w:val="24"/>
          <w:lang w:eastAsia="en-ZW"/>
        </w:rPr>
        <w:t xml:space="preserve">, which is a remedy available under Zimbabwean common law for the recovery of the value of stolen property.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laintiff's claim is for US</w:t>
      </w:r>
      <w:r>
        <w:rPr>
          <w:rFonts w:ascii="Times New Roman" w:eastAsia="Times New Roman" w:hAnsi="Times New Roman" w:cs="Times New Roman"/>
          <w:sz w:val="24"/>
          <w:szCs w:val="24"/>
          <w:lang w:eastAsia="en-ZW"/>
        </w:rPr>
        <w:t xml:space="preserve">$37 </w:t>
      </w:r>
      <w:r w:rsidR="00037173" w:rsidRPr="00037173">
        <w:rPr>
          <w:rFonts w:ascii="Times New Roman" w:eastAsia="Times New Roman" w:hAnsi="Times New Roman" w:cs="Times New Roman"/>
          <w:sz w:val="24"/>
          <w:szCs w:val="24"/>
          <w:lang w:eastAsia="en-ZW"/>
        </w:rPr>
        <w:t>5</w:t>
      </w:r>
      <w:r>
        <w:rPr>
          <w:rFonts w:ascii="Times New Roman" w:eastAsia="Times New Roman" w:hAnsi="Times New Roman" w:cs="Times New Roman"/>
          <w:sz w:val="24"/>
          <w:szCs w:val="24"/>
          <w:lang w:eastAsia="en-ZW"/>
        </w:rPr>
        <w:t>78</w:t>
      </w:r>
      <w:r w:rsidR="00037173" w:rsidRPr="00037173">
        <w:rPr>
          <w:rFonts w:ascii="Times New Roman" w:eastAsia="Times New Roman" w:hAnsi="Times New Roman" w:cs="Times New Roman"/>
          <w:sz w:val="24"/>
          <w:szCs w:val="24"/>
          <w:lang w:eastAsia="en-ZW"/>
        </w:rPr>
        <w:t>, which represents the total value of the stolen equipment.</w:t>
      </w:r>
    </w:p>
    <w:p w14:paraId="213E5DA3" w14:textId="77777777" w:rsidR="00106F42" w:rsidRDefault="0037596D" w:rsidP="00106F4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In response,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filed a special plea, contesting the jurisdiction of the High Court. They argue that the case should have been brought before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as the value of the claim falls within the monetary limits prescribed by SI 45 of 2023. </w:t>
      </w:r>
      <w:r w:rsidR="00106F42">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Alternatively, the </w:t>
      </w:r>
      <w:r w:rsidR="00106F42">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 contend that the matter should have been instituted in the Commercial Division of the High Court, as the dispute is commercial in nature.</w:t>
      </w:r>
    </w:p>
    <w:p w14:paraId="2D49484C" w14:textId="77777777" w:rsidR="00106F42" w:rsidRDefault="00106F42" w:rsidP="00106F4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however, maintains that the High Court has original and inherent jurisdiction over all civil matters in Zimbabwe, including this one.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 argues that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special plea is without merit and should be dismissed.</w:t>
      </w:r>
    </w:p>
    <w:p w14:paraId="05A57A0D" w14:textId="77777777" w:rsidR="00304B76" w:rsidRDefault="00106F42" w:rsidP="00304B76">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jurisdiction of the High Court of Zimbabwe is established under </w:t>
      </w:r>
      <w:r>
        <w:rPr>
          <w:rFonts w:ascii="Times New Roman" w:eastAsia="Times New Roman" w:hAnsi="Times New Roman" w:cs="Times New Roman"/>
          <w:sz w:val="24"/>
          <w:szCs w:val="24"/>
          <w:lang w:eastAsia="en-ZW"/>
        </w:rPr>
        <w:t>s</w:t>
      </w:r>
      <w:r w:rsidR="00037173" w:rsidRPr="00037173">
        <w:rPr>
          <w:rFonts w:ascii="Times New Roman" w:eastAsia="Times New Roman" w:hAnsi="Times New Roman" w:cs="Times New Roman"/>
          <w:sz w:val="24"/>
          <w:szCs w:val="24"/>
          <w:lang w:eastAsia="en-ZW"/>
        </w:rPr>
        <w:t xml:space="preserve"> 13 of the High Court Act [</w:t>
      </w:r>
      <w:r w:rsidR="00037173" w:rsidRPr="00106F42">
        <w:rPr>
          <w:rFonts w:ascii="Times New Roman" w:eastAsia="Times New Roman" w:hAnsi="Times New Roman" w:cs="Times New Roman"/>
          <w:i/>
          <w:sz w:val="24"/>
          <w:szCs w:val="24"/>
          <w:lang w:eastAsia="en-ZW"/>
        </w:rPr>
        <w:t>Chapter 7:06</w:t>
      </w:r>
      <w:r w:rsidR="00037173" w:rsidRPr="00037173">
        <w:rPr>
          <w:rFonts w:ascii="Times New Roman" w:eastAsia="Times New Roman" w:hAnsi="Times New Roman" w:cs="Times New Roman"/>
          <w:sz w:val="24"/>
          <w:szCs w:val="24"/>
          <w:lang w:eastAsia="en-ZW"/>
        </w:rPr>
        <w:t xml:space="preserve">], which provides that the High Court shall have </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full original civil jurisdiction over all persons and over all matters within Zimbabwe.</w:t>
      </w:r>
      <w:r>
        <w:rPr>
          <w:rFonts w:ascii="Times New Roman" w:eastAsia="Times New Roman" w:hAnsi="Times New Roman" w:cs="Times New Roman"/>
          <w:sz w:val="24"/>
          <w:szCs w:val="24"/>
          <w:lang w:eastAsia="en-ZW"/>
        </w:rPr>
        <w:t>”</w:t>
      </w:r>
      <w:r w:rsidR="00304B76">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 This provision grants the High Court comprehensive authority to hear and determine any civil matter, regardless of the nature of the claim or the value involved.</w:t>
      </w:r>
    </w:p>
    <w:p w14:paraId="39E2FB66" w14:textId="77777777" w:rsidR="00304B76" w:rsidRDefault="00304B76" w:rsidP="00304B76">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Furthermore, </w:t>
      </w:r>
      <w:r>
        <w:rPr>
          <w:rFonts w:ascii="Times New Roman" w:eastAsia="Times New Roman" w:hAnsi="Times New Roman" w:cs="Times New Roman"/>
          <w:sz w:val="24"/>
          <w:szCs w:val="24"/>
          <w:lang w:eastAsia="en-ZW"/>
        </w:rPr>
        <w:t>s</w:t>
      </w:r>
      <w:r w:rsidR="00037173" w:rsidRPr="00037173">
        <w:rPr>
          <w:rFonts w:ascii="Times New Roman" w:eastAsia="Times New Roman" w:hAnsi="Times New Roman" w:cs="Times New Roman"/>
          <w:sz w:val="24"/>
          <w:szCs w:val="24"/>
          <w:lang w:eastAsia="en-ZW"/>
        </w:rPr>
        <w:t xml:space="preserve"> 171 of the Constitution of Zimbabwe Amendment No.</w:t>
      </w:r>
      <w:r>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20 Act 2013 reaffirms the High Court's jurisdiction, stating that the High Court </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has original jurisdiction over all civil and criminal matters throughout Zimbabwe.</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This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onstitutional provision underscores the High Court's role as the primary judicial forum for resolving civil disputes in the country.</w:t>
      </w:r>
    </w:p>
    <w:p w14:paraId="288C4F23" w14:textId="77777777" w:rsidR="00304B76" w:rsidRDefault="00304B76" w:rsidP="00304B76">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In addition to these statutory and constitutional provisions, the High Court's inherent jurisdiction is a well-established principle in common law. In the landmark case of </w:t>
      </w:r>
      <w:r w:rsidR="00037173" w:rsidRPr="00037173">
        <w:rPr>
          <w:rFonts w:ascii="Times New Roman" w:eastAsia="Times New Roman" w:hAnsi="Times New Roman" w:cs="Times New Roman"/>
          <w:i/>
          <w:iCs/>
          <w:sz w:val="24"/>
          <w:szCs w:val="24"/>
          <w:lang w:eastAsia="en-ZW"/>
        </w:rPr>
        <w:t xml:space="preserve">Rutsate </w:t>
      </w:r>
      <w:r w:rsidRPr="00304B76">
        <w:rPr>
          <w:rFonts w:ascii="Times New Roman" w:eastAsia="Times New Roman" w:hAnsi="Times New Roman" w:cs="Times New Roman"/>
          <w:iCs/>
          <w:sz w:val="24"/>
          <w:szCs w:val="24"/>
          <w:lang w:eastAsia="en-ZW"/>
        </w:rPr>
        <w:t>v</w:t>
      </w:r>
      <w:r w:rsidR="00037173" w:rsidRPr="00037173">
        <w:rPr>
          <w:rFonts w:ascii="Times New Roman" w:eastAsia="Times New Roman" w:hAnsi="Times New Roman" w:cs="Times New Roman"/>
          <w:i/>
          <w:iCs/>
          <w:sz w:val="24"/>
          <w:szCs w:val="24"/>
          <w:lang w:eastAsia="en-ZW"/>
        </w:rPr>
        <w:t xml:space="preserve"> Ndaveni Wedzerai</w:t>
      </w:r>
      <w:r w:rsidR="009273FB">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SC 22/2020, the Supreme Court of Zimbabwe held that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jurisdiction is unlimited, allowing it to adjudicate any civil dispute, regardless of the claim</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nature or value. This principle has been consistently upheld in Zimbabwean jurisprudence, reinforcing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authority to hear cases that might otherwise fall within the jurisdiction of lower courts.</w:t>
      </w:r>
    </w:p>
    <w:p w14:paraId="287A5D24" w14:textId="77777777" w:rsidR="007E7554" w:rsidRDefault="00304B76" w:rsidP="007E7554">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special plea is grounded in the provisions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(Civil Jurisdiction) (Monetary Limits) Rules, 2023, as set out in SI 45 of 2023. These rules prescribe that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has jurisdiction to hear civil matters where the value </w:t>
      </w:r>
      <w:r>
        <w:rPr>
          <w:rFonts w:ascii="Times New Roman" w:eastAsia="Times New Roman" w:hAnsi="Times New Roman" w:cs="Times New Roman"/>
          <w:sz w:val="24"/>
          <w:szCs w:val="24"/>
          <w:lang w:eastAsia="en-ZW"/>
        </w:rPr>
        <w:t>of the claim does not exceed US$</w:t>
      </w:r>
      <w:r w:rsidR="00037173" w:rsidRPr="00037173">
        <w:rPr>
          <w:rFonts w:ascii="Times New Roman" w:eastAsia="Times New Roman" w:hAnsi="Times New Roman" w:cs="Times New Roman"/>
          <w:sz w:val="24"/>
          <w:szCs w:val="24"/>
          <w:lang w:eastAsia="en-ZW"/>
        </w:rPr>
        <w:t>50</w:t>
      </w:r>
      <w:r>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000.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argue that since the </w:t>
      </w:r>
      <w:r>
        <w:rPr>
          <w:rFonts w:ascii="Times New Roman" w:eastAsia="Times New Roman" w:hAnsi="Times New Roman" w:cs="Times New Roman"/>
          <w:sz w:val="24"/>
          <w:szCs w:val="24"/>
          <w:lang w:eastAsia="en-ZW"/>
        </w:rPr>
        <w:t>plaintiff's claim is for US$</w:t>
      </w:r>
      <w:r w:rsidR="00037173" w:rsidRPr="00037173">
        <w:rPr>
          <w:rFonts w:ascii="Times New Roman" w:eastAsia="Times New Roman" w:hAnsi="Times New Roman" w:cs="Times New Roman"/>
          <w:sz w:val="24"/>
          <w:szCs w:val="24"/>
          <w:lang w:eastAsia="en-ZW"/>
        </w:rPr>
        <w:t>37</w:t>
      </w:r>
      <w:r>
        <w:rPr>
          <w:rFonts w:ascii="Times New Roman" w:eastAsia="Times New Roman" w:hAnsi="Times New Roman" w:cs="Times New Roman"/>
          <w:sz w:val="24"/>
          <w:szCs w:val="24"/>
          <w:lang w:eastAsia="en-ZW"/>
        </w:rPr>
        <w:t xml:space="preserve"> 578</w:t>
      </w:r>
      <w:r w:rsidR="00037173" w:rsidRPr="00037173">
        <w:rPr>
          <w:rFonts w:ascii="Times New Roman" w:eastAsia="Times New Roman" w:hAnsi="Times New Roman" w:cs="Times New Roman"/>
          <w:sz w:val="24"/>
          <w:szCs w:val="24"/>
          <w:lang w:eastAsia="en-ZW"/>
        </w:rPr>
        <w:t xml:space="preserve">, it falls within the monetary jurisdiction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and therefore, the High Court should not entertain the matter.</w:t>
      </w:r>
    </w:p>
    <w:p w14:paraId="087A46DB" w14:textId="77777777" w:rsidR="00516E1C" w:rsidRDefault="007E7554" w:rsidP="00516E1C">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However, this argument overlooks a critical aspect of Zimbabwean law:</w:t>
      </w:r>
      <w:r>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 xml:space="preserve"> the jurisdiction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does not preclude the High Court from hearing matters that fall within the lower court's monetary limits. Section 53 of the High Court Act [</w:t>
      </w:r>
      <w:r w:rsidR="00037173" w:rsidRPr="007E7554">
        <w:rPr>
          <w:rFonts w:ascii="Times New Roman" w:eastAsia="Times New Roman" w:hAnsi="Times New Roman" w:cs="Times New Roman"/>
          <w:i/>
          <w:sz w:val="24"/>
          <w:szCs w:val="24"/>
          <w:lang w:eastAsia="en-ZW"/>
        </w:rPr>
        <w:t>Chapter 7:06</w:t>
      </w:r>
      <w:r w:rsidR="00037173" w:rsidRPr="00037173">
        <w:rPr>
          <w:rFonts w:ascii="Times New Roman" w:eastAsia="Times New Roman" w:hAnsi="Times New Roman" w:cs="Times New Roman"/>
          <w:sz w:val="24"/>
          <w:szCs w:val="24"/>
          <w:lang w:eastAsia="en-ZW"/>
        </w:rPr>
        <w:t xml:space="preserve">] provides that if a matter that could have been brought in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is instituted in the High Court, the High Court may still preside over the case, but the costs recoverable by the successful party shall not exceed those that would have been recoverable in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w:t>
      </w:r>
    </w:p>
    <w:p w14:paraId="78675ACF" w14:textId="77777777" w:rsidR="000A3E22" w:rsidRDefault="00516E1C" w:rsidP="000A3E2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This statutory provision clarifies that the High Court's jurisdiction is not ousted by the monetary limits applicable to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Instead, it allows for the concurrent jurisdiction of both courts, with the only consequence being a limitation on the costs recoverable in the High Court. This principle ensures that litigants have the option to bring their claims before the High Court, even if the value of the claim falls within the monetary limits of the </w:t>
      </w:r>
      <w:r w:rsidR="000A3E22">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sidR="000A3E22">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w:t>
      </w:r>
    </w:p>
    <w:p w14:paraId="77F35952" w14:textId="77777777" w:rsidR="000A3E22" w:rsidRDefault="000A3E22" w:rsidP="000A3E2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F67B0D" w:rsidRPr="00F67B0D">
        <w:rPr>
          <w:rFonts w:ascii="Times New Roman" w:eastAsia="Times New Roman" w:hAnsi="Times New Roman" w:cs="Times New Roman"/>
          <w:sz w:val="24"/>
          <w:szCs w:val="24"/>
          <w:lang w:eastAsia="en-ZW"/>
        </w:rPr>
        <w:t>The establishment of the Commercial Division of the High Court has been a significant development in the administration of justice in Zimbabwe. The Commercial Division provides a specialized forum for resolving commercial disputes, with a focus on efficiency, expertise, and the timely resolution of complex business matters. The rules governing the Commercial Division, as set out in the High Court (Commercial Division) Rules, 2020, are designed to streamline the adjudication of commercial cases and to provide a forum that is tailored to the needs of the business community.</w:t>
      </w:r>
    </w:p>
    <w:p w14:paraId="0C2EAC06" w14:textId="77777777" w:rsidR="000A3E22" w:rsidRDefault="000A3E22" w:rsidP="000A3E2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F67B0D" w:rsidRPr="00F67B0D">
        <w:rPr>
          <w:rFonts w:ascii="Times New Roman" w:eastAsia="Times New Roman" w:hAnsi="Times New Roman" w:cs="Times New Roman"/>
          <w:sz w:val="24"/>
          <w:szCs w:val="24"/>
          <w:lang w:eastAsia="en-ZW"/>
        </w:rPr>
        <w:t>However, it is important to note that the creation of the Commercial Division does not diminish the jurisdiction of the Civil Division of the High Court. Both divisions are integral parts of the High Court, and they share concurrent jurisdiction over civil and commercial matters. The allocation of cases between the divisions is primarily an administrative function, aimed at ensuring that cases are heard in the most appropriate forum.</w:t>
      </w:r>
    </w:p>
    <w:p w14:paraId="1B5FFA32" w14:textId="77777777" w:rsidR="00BF3465" w:rsidRDefault="000A3E22"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While the establishment of the Commercial Division has undoubtedly enhanced the efficiency and expertise in handling commercial disputes, it does not create an exclusive jurisdiction over such matters. The High Court, sitting in its Civil Division, retains the authority </w:t>
      </w:r>
      <w:r w:rsidR="00037173" w:rsidRPr="00037173">
        <w:rPr>
          <w:rFonts w:ascii="Times New Roman" w:eastAsia="Times New Roman" w:hAnsi="Times New Roman" w:cs="Times New Roman"/>
          <w:sz w:val="24"/>
          <w:szCs w:val="24"/>
          <w:lang w:eastAsia="en-ZW"/>
        </w:rPr>
        <w:lastRenderedPageBreak/>
        <w:t xml:space="preserve">to hear commercial disputes. This position was confirmed in the case of </w:t>
      </w:r>
      <w:r w:rsidR="00037173" w:rsidRPr="00037173">
        <w:rPr>
          <w:rFonts w:ascii="Times New Roman" w:eastAsia="Times New Roman" w:hAnsi="Times New Roman" w:cs="Times New Roman"/>
          <w:i/>
          <w:iCs/>
          <w:sz w:val="24"/>
          <w:szCs w:val="24"/>
          <w:lang w:eastAsia="en-ZW"/>
        </w:rPr>
        <w:t xml:space="preserve">Angel Hill Mining Company </w:t>
      </w:r>
      <w:r>
        <w:rPr>
          <w:rFonts w:ascii="Times New Roman" w:eastAsia="Times New Roman" w:hAnsi="Times New Roman" w:cs="Times New Roman"/>
          <w:iCs/>
          <w:sz w:val="24"/>
          <w:szCs w:val="24"/>
          <w:lang w:eastAsia="en-ZW"/>
        </w:rPr>
        <w:t>v</w:t>
      </w:r>
      <w:r w:rsidR="00037173" w:rsidRPr="00037173">
        <w:rPr>
          <w:rFonts w:ascii="Times New Roman" w:eastAsia="Times New Roman" w:hAnsi="Times New Roman" w:cs="Times New Roman"/>
          <w:i/>
          <w:iCs/>
          <w:sz w:val="24"/>
          <w:szCs w:val="24"/>
          <w:lang w:eastAsia="en-ZW"/>
        </w:rPr>
        <w:t xml:space="preserve"> Rumgold Trading (Pvt) Ltd</w:t>
      </w:r>
      <w:r w:rsidR="00037173" w:rsidRPr="00037173">
        <w:rPr>
          <w:rFonts w:ascii="Times New Roman" w:eastAsia="Times New Roman" w:hAnsi="Times New Roman" w:cs="Times New Roman"/>
          <w:sz w:val="24"/>
          <w:szCs w:val="24"/>
          <w:lang w:eastAsia="en-ZW"/>
        </w:rPr>
        <w:t xml:space="preserve"> HH 69-23, where the court held that the establishment of the Commercial Division does not oust the jurisdiction of the Civil Division of the High Court. The court emphasized that both divisions are part of the same High Court, and judges can hear any matter allocated to them, regardless of its commercial nature.</w:t>
      </w:r>
    </w:p>
    <w:p w14:paraId="4A3E25AD" w14:textId="77777777" w:rsidR="00BF3465" w:rsidRDefault="00BF3465"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Moreover, in the case of </w:t>
      </w:r>
      <w:r w:rsidR="00037173" w:rsidRPr="00037173">
        <w:rPr>
          <w:rFonts w:ascii="Times New Roman" w:eastAsia="Times New Roman" w:hAnsi="Times New Roman" w:cs="Times New Roman"/>
          <w:i/>
          <w:iCs/>
          <w:sz w:val="24"/>
          <w:szCs w:val="24"/>
          <w:lang w:eastAsia="en-ZW"/>
        </w:rPr>
        <w:t xml:space="preserve">Slice Through Investments (Pvt) Ltd </w:t>
      </w:r>
      <w:r w:rsidRPr="00BF3465">
        <w:rPr>
          <w:rFonts w:ascii="Times New Roman" w:eastAsia="Times New Roman" w:hAnsi="Times New Roman" w:cs="Times New Roman"/>
          <w:iCs/>
          <w:sz w:val="24"/>
          <w:szCs w:val="24"/>
          <w:lang w:eastAsia="en-ZW"/>
        </w:rPr>
        <w:t>v</w:t>
      </w:r>
      <w:r w:rsidR="00037173" w:rsidRPr="00037173">
        <w:rPr>
          <w:rFonts w:ascii="Times New Roman" w:eastAsia="Times New Roman" w:hAnsi="Times New Roman" w:cs="Times New Roman"/>
          <w:i/>
          <w:iCs/>
          <w:sz w:val="24"/>
          <w:szCs w:val="24"/>
          <w:lang w:eastAsia="en-ZW"/>
        </w:rPr>
        <w:t xml:space="preserve"> Nirgel Trucking and Plant Hire (Pvt) Ltd</w:t>
      </w:r>
      <w:r w:rsidR="00037173" w:rsidRPr="00037173">
        <w:rPr>
          <w:rFonts w:ascii="Times New Roman" w:eastAsia="Times New Roman" w:hAnsi="Times New Roman" w:cs="Times New Roman"/>
          <w:sz w:val="24"/>
          <w:szCs w:val="24"/>
          <w:lang w:eastAsia="en-ZW"/>
        </w:rPr>
        <w:t xml:space="preserve"> HB 45/23, the court further clarified that the rules governing the Commercial Division cannot oust the jurisdiction of the General Division of the High Court. The court held that subsidiary legislation, such as the rules establishing the Commercial Division, cannot alter or undermine the substantive law that grants the High Court its jurisdiction.</w:t>
      </w:r>
    </w:p>
    <w:p w14:paraId="1A3680F8" w14:textId="77777777" w:rsidR="00BF3465" w:rsidRDefault="00BF3465"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These cases reinforce the principle that the High Court's jurisdiction is broad and encompasses both civil and commercial disputes.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 xml:space="preserve">laintiff's decision to bring this matter before the Civil Division of the High Court is therefore legally sound, and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contention that the case should have been heard in the Commercial Division is without merit.</w:t>
      </w:r>
    </w:p>
    <w:p w14:paraId="035A72C8" w14:textId="13D3C763" w:rsidR="00BF3465" w:rsidRDefault="00BF3465"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The concept of inherent jurisdiction is fundamental to the functioning of superior courts, such as the High Court of Zimbabwe.</w:t>
      </w:r>
      <w:r>
        <w:rPr>
          <w:rFonts w:ascii="Times New Roman" w:eastAsia="Times New Roman" w:hAnsi="Times New Roman" w:cs="Times New Roman"/>
          <w:sz w:val="24"/>
          <w:szCs w:val="24"/>
          <w:lang w:eastAsia="en-ZW"/>
        </w:rPr>
        <w:t xml:space="preserve">  </w:t>
      </w:r>
      <w:r w:rsidR="00037173" w:rsidRPr="00037173">
        <w:rPr>
          <w:rFonts w:ascii="Times New Roman" w:eastAsia="Times New Roman" w:hAnsi="Times New Roman" w:cs="Times New Roman"/>
          <w:sz w:val="24"/>
          <w:szCs w:val="24"/>
          <w:lang w:eastAsia="en-ZW"/>
        </w:rPr>
        <w:t>Inherent jurisdiction refers to the power of a court to regulate its own processes and to hear any matter that falls within its purview, even in the absence of explicit statutory authority. This power is essential for maintaining the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ability to administer justice effectively and to address any gaps in the statutory framework.</w:t>
      </w:r>
    </w:p>
    <w:p w14:paraId="527ACE86" w14:textId="5108B8D4" w:rsidR="00BF3465" w:rsidRDefault="00BF3465"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In the context of this case,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inherent jurisdiction allows it to entertain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claim under </w:t>
      </w:r>
      <w:r w:rsidR="00037173" w:rsidRPr="00037173">
        <w:rPr>
          <w:rFonts w:ascii="Times New Roman" w:eastAsia="Times New Roman" w:hAnsi="Times New Roman" w:cs="Times New Roman"/>
          <w:i/>
          <w:iCs/>
          <w:sz w:val="24"/>
          <w:szCs w:val="24"/>
          <w:lang w:eastAsia="en-ZW"/>
        </w:rPr>
        <w:t>condictio furtiva</w:t>
      </w:r>
      <w:r w:rsidR="00037173" w:rsidRPr="00037173">
        <w:rPr>
          <w:rFonts w:ascii="Times New Roman" w:eastAsia="Times New Roman" w:hAnsi="Times New Roman" w:cs="Times New Roman"/>
          <w:sz w:val="24"/>
          <w:szCs w:val="24"/>
          <w:lang w:eastAsia="en-ZW"/>
        </w:rPr>
        <w:t xml:space="preserve">. The doctrine of </w:t>
      </w:r>
      <w:r w:rsidR="00037173" w:rsidRPr="00037173">
        <w:rPr>
          <w:rFonts w:ascii="Times New Roman" w:eastAsia="Times New Roman" w:hAnsi="Times New Roman" w:cs="Times New Roman"/>
          <w:i/>
          <w:iCs/>
          <w:sz w:val="24"/>
          <w:szCs w:val="24"/>
          <w:lang w:eastAsia="en-ZW"/>
        </w:rPr>
        <w:t>condictio furtiva</w:t>
      </w:r>
      <w:r w:rsidR="00037173" w:rsidRPr="00037173">
        <w:rPr>
          <w:rFonts w:ascii="Times New Roman" w:eastAsia="Times New Roman" w:hAnsi="Times New Roman" w:cs="Times New Roman"/>
          <w:sz w:val="24"/>
          <w:szCs w:val="24"/>
          <w:lang w:eastAsia="en-ZW"/>
        </w:rPr>
        <w:t xml:space="preserve"> is a common law remedy that enables a party to recover the value of stolen property from the thief or any person who has wrongfully benefited from the theft. This remedy is rooted in principles of equity and justice, aiming to restore the victim to the position they would have been in had the theft not occurred.</w:t>
      </w:r>
    </w:p>
    <w:p w14:paraId="20F53F32" w14:textId="77777777" w:rsidR="00BF3465" w:rsidRDefault="00BF3465" w:rsidP="00BF3465">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decision to invoke </w:t>
      </w:r>
      <w:r w:rsidR="00037173" w:rsidRPr="00037173">
        <w:rPr>
          <w:rFonts w:ascii="Times New Roman" w:eastAsia="Times New Roman" w:hAnsi="Times New Roman" w:cs="Times New Roman"/>
          <w:i/>
          <w:iCs/>
          <w:sz w:val="24"/>
          <w:szCs w:val="24"/>
          <w:lang w:eastAsia="en-ZW"/>
        </w:rPr>
        <w:t>condictio furtiva</w:t>
      </w:r>
      <w:r w:rsidR="00037173" w:rsidRPr="00037173">
        <w:rPr>
          <w:rFonts w:ascii="Times New Roman" w:eastAsia="Times New Roman" w:hAnsi="Times New Roman" w:cs="Times New Roman"/>
          <w:sz w:val="24"/>
          <w:szCs w:val="24"/>
          <w:lang w:eastAsia="en-ZW"/>
        </w:rPr>
        <w:t xml:space="preserve"> before the High Court is consistent with the court's inherent jurisdiction to hear civil matters of this nature.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claim involves complex issues of law and fact, including the determination of liability for the theft and the calculation of damages. The High Court, with its broad jurisdiction and expertise, is well-equipped to adjudicate these issues and to ensure that justice is done.</w:t>
      </w:r>
    </w:p>
    <w:p w14:paraId="3AAF0F27" w14:textId="14C03FC7" w:rsidR="006121EF" w:rsidRDefault="00BF3465" w:rsidP="006121EF">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special plea, which seeks to limit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jurisdiction based on the value of the claim, fails to appreciat</w:t>
      </w:r>
      <w:r>
        <w:rPr>
          <w:rFonts w:ascii="Times New Roman" w:eastAsia="Times New Roman" w:hAnsi="Times New Roman" w:cs="Times New Roman"/>
          <w:sz w:val="24"/>
          <w:szCs w:val="24"/>
          <w:lang w:eastAsia="en-ZW"/>
        </w:rPr>
        <w:t>e the significance of the court’</w:t>
      </w:r>
      <w:r w:rsidR="00037173" w:rsidRPr="00037173">
        <w:rPr>
          <w:rFonts w:ascii="Times New Roman" w:eastAsia="Times New Roman" w:hAnsi="Times New Roman" w:cs="Times New Roman"/>
          <w:sz w:val="24"/>
          <w:szCs w:val="24"/>
          <w:lang w:eastAsia="en-ZW"/>
        </w:rPr>
        <w:t>s inhere</w:t>
      </w:r>
      <w:r>
        <w:rPr>
          <w:rFonts w:ascii="Times New Roman" w:eastAsia="Times New Roman" w:hAnsi="Times New Roman" w:cs="Times New Roman"/>
          <w:sz w:val="24"/>
          <w:szCs w:val="24"/>
          <w:lang w:eastAsia="en-ZW"/>
        </w:rPr>
        <w:t xml:space="preserve">nt jurisdiction. </w:t>
      </w:r>
      <w:r>
        <w:rPr>
          <w:rFonts w:ascii="Times New Roman" w:eastAsia="Times New Roman" w:hAnsi="Times New Roman" w:cs="Times New Roman"/>
          <w:sz w:val="24"/>
          <w:szCs w:val="24"/>
          <w:lang w:eastAsia="en-ZW"/>
        </w:rPr>
        <w:lastRenderedPageBreak/>
        <w:t>The High Court’</w:t>
      </w:r>
      <w:r w:rsidR="00037173" w:rsidRPr="00037173">
        <w:rPr>
          <w:rFonts w:ascii="Times New Roman" w:eastAsia="Times New Roman" w:hAnsi="Times New Roman" w:cs="Times New Roman"/>
          <w:sz w:val="24"/>
          <w:szCs w:val="24"/>
          <w:lang w:eastAsia="en-ZW"/>
        </w:rPr>
        <w:t xml:space="preserve">s authority to hear this case is not constrained by the monetary limits applicable to the </w:t>
      </w:r>
      <w:r w:rsidR="006121EF">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sidR="006121EF">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w:t>
      </w:r>
      <w:r w:rsidR="00BE4EE6">
        <w:rPr>
          <w:rFonts w:ascii="Times New Roman" w:eastAsia="Times New Roman" w:hAnsi="Times New Roman" w:cs="Times New Roman"/>
          <w:sz w:val="24"/>
          <w:szCs w:val="24"/>
          <w:lang w:eastAsia="en-ZW"/>
        </w:rPr>
        <w:t> </w:t>
      </w:r>
      <w:r w:rsidR="00037173" w:rsidRPr="00037173">
        <w:rPr>
          <w:rFonts w:ascii="Times New Roman" w:eastAsia="Times New Roman" w:hAnsi="Times New Roman" w:cs="Times New Roman"/>
          <w:sz w:val="24"/>
          <w:szCs w:val="24"/>
          <w:lang w:eastAsia="en-ZW"/>
        </w:rPr>
        <w:t>Instead, the court</w:t>
      </w:r>
      <w:r w:rsidR="006121EF">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inherent jurisdiction allows it to consider the merits of the case and to render a decision that is fair and just, regardless of the value involved.</w:t>
      </w:r>
    </w:p>
    <w:p w14:paraId="01D72A1D" w14:textId="77777777" w:rsidR="004D7AF2" w:rsidRDefault="006121EF" w:rsidP="004D7AF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monetary jurisdiction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as prescribed by SI 45 of 2023, serves as a guideline for determining the appropriate forum for civil claims based on their value. However, it is important to recognize that these monetary limits are not intended to restrict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jurisdiction. Instead, they provide a framework for allocating cases between the High Court and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with the aim of promoting judicial efficiency and ensuring that cases are heard in the most appropriate forum.</w:t>
      </w:r>
    </w:p>
    <w:p w14:paraId="05F517CD" w14:textId="77777777" w:rsidR="004D7AF2" w:rsidRDefault="004D7AF2" w:rsidP="004D7AF2">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decision to bring a case before the High Court, even when it falls within the monetary limits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is ultimately a matter of judicial discretion. Litigants may choose to file their claims in the High Court for various reasons, including the complexity of the legal issues involved, the need for a more thorough examination of the evidence, or the desire to have the case heard by a higher court with broader jurisdiction.</w:t>
      </w:r>
    </w:p>
    <w:p w14:paraId="31DA7AF6" w14:textId="77777777" w:rsidR="00773287" w:rsidRDefault="004D7AF2" w:rsidP="00773287">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In exercising its discretion to hear such cases, the High Court must consider the interests of justice and the specific circumstances of each case. In this matter,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claim involves allegations of theft, fraudulent conduct, and significant financial losses. These issues are of sufficient complexity and importance to warrant the attention of the High Court. The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inherent jurisdiction allows it to hear the case, even if it could have been brought before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and to ensure that the </w:t>
      </w:r>
      <w:r>
        <w:rPr>
          <w:rFonts w:ascii="Times New Roman" w:eastAsia="Times New Roman" w:hAnsi="Times New Roman" w:cs="Times New Roman"/>
          <w:sz w:val="24"/>
          <w:szCs w:val="24"/>
          <w:lang w:eastAsia="en-ZW"/>
        </w:rPr>
        <w:t>p</w:t>
      </w:r>
      <w:r w:rsidR="00037173" w:rsidRPr="00037173">
        <w:rPr>
          <w:rFonts w:ascii="Times New Roman" w:eastAsia="Times New Roman" w:hAnsi="Times New Roman" w:cs="Times New Roman"/>
          <w:sz w:val="24"/>
          <w:szCs w:val="24"/>
          <w:lang w:eastAsia="en-ZW"/>
        </w:rPr>
        <w:t>laintiff</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claim is fully and fairly adjudicated.</w:t>
      </w:r>
    </w:p>
    <w:p w14:paraId="32CFD50E" w14:textId="77777777" w:rsidR="004A64DF" w:rsidRDefault="00773287" w:rsidP="004A64DF">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Moreover, the High Court's discretion to hear cases within the monetary limits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is further supported by </w:t>
      </w:r>
      <w:r>
        <w:rPr>
          <w:rFonts w:ascii="Times New Roman" w:eastAsia="Times New Roman" w:hAnsi="Times New Roman" w:cs="Times New Roman"/>
          <w:sz w:val="24"/>
          <w:szCs w:val="24"/>
          <w:lang w:eastAsia="en-ZW"/>
        </w:rPr>
        <w:t>s</w:t>
      </w:r>
      <w:r w:rsidR="00037173" w:rsidRPr="00037173">
        <w:rPr>
          <w:rFonts w:ascii="Times New Roman" w:eastAsia="Times New Roman" w:hAnsi="Times New Roman" w:cs="Times New Roman"/>
          <w:sz w:val="24"/>
          <w:szCs w:val="24"/>
          <w:lang w:eastAsia="en-ZW"/>
        </w:rPr>
        <w:t xml:space="preserve"> 53 of the High Court Act. This provision ensures that the High Court can preside over such cases, with the only limitation being on the costs recoverable by the successful party. This approach strikes a balance between maintaining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broad jurisdiction and encouraging the efficient use of judicial resources by directing lower-value claims to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w:t>
      </w:r>
    </w:p>
    <w:p w14:paraId="74EDE41F" w14:textId="77777777" w:rsidR="004A64DF" w:rsidRDefault="004A64DF" w:rsidP="004A64DF">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special plea is further weakened by the contradictory nature of their arguments. On the one hand,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argue that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is the proper forum for this case due to its monetary jurisdiction. On the other hand, they contend that the matter should have been brought before the Commercial Division of the High Court, based on the commercial nature of the dispute.</w:t>
      </w:r>
    </w:p>
    <w:p w14:paraId="4C596876" w14:textId="77777777" w:rsidR="004A64DF" w:rsidRDefault="004A64DF" w:rsidP="004A64DF">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These arguments are inherently contradictory and reflect a lack of a coherent legal position.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 xml:space="preserve">efendants cannot simultaneously argue that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 xml:space="preserve">ourt is the only </w:t>
      </w:r>
      <w:r w:rsidR="00037173" w:rsidRPr="00037173">
        <w:rPr>
          <w:rFonts w:ascii="Times New Roman" w:eastAsia="Times New Roman" w:hAnsi="Times New Roman" w:cs="Times New Roman"/>
          <w:sz w:val="24"/>
          <w:szCs w:val="24"/>
          <w:lang w:eastAsia="en-ZW"/>
        </w:rPr>
        <w:lastRenderedPageBreak/>
        <w:t>forum with jurisdiction while also asserting that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Commercial Division has exclusive jurisdiction. This inconsistency undermines the credibility of the special plea and suggests that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 are attempting to delay the proceedings by raising spurious jurisdictional challenges.</w:t>
      </w:r>
    </w:p>
    <w:p w14:paraId="0C08F7BD" w14:textId="77777777" w:rsidR="004A64DF" w:rsidRDefault="004A64DF" w:rsidP="004A64DF">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In legal proceedings, it is essential for parties to present clear and consistent arguments that are grounded in the law.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 failure to do so in this case indicates that their special plea is not based on a genuine legal issue, but rather on an attempt to avoid the merits of the case. The High Court cannot allow such tactics to succeed, as they would undermine the administration of justice and delay the resolution of the dispute.</w:t>
      </w:r>
    </w:p>
    <w:p w14:paraId="43592F24" w14:textId="77777777" w:rsidR="00C71AD8" w:rsidRDefault="004A64DF" w:rsidP="00C71AD8">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In light of the foregoing analysis, it is evident that the High Court of Zimbabwe, sitting in its Civil Division, has the jurisdiction to hear and determine this matter. The </w:t>
      </w:r>
      <w:r>
        <w:rPr>
          <w:rFonts w:ascii="Times New Roman" w:eastAsia="Times New Roman" w:hAnsi="Times New Roman" w:cs="Times New Roman"/>
          <w:sz w:val="24"/>
          <w:szCs w:val="24"/>
          <w:lang w:eastAsia="en-ZW"/>
        </w:rPr>
        <w:t>d</w:t>
      </w:r>
      <w:r w:rsidRPr="00037173">
        <w:rPr>
          <w:rFonts w:ascii="Times New Roman" w:eastAsia="Times New Roman" w:hAnsi="Times New Roman" w:cs="Times New Roman"/>
          <w:sz w:val="24"/>
          <w:szCs w:val="24"/>
          <w:lang w:eastAsia="en-ZW"/>
        </w:rPr>
        <w:t>efendants</w:t>
      </w:r>
      <w:r>
        <w:rPr>
          <w:rFonts w:ascii="Times New Roman" w:eastAsia="Times New Roman" w:hAnsi="Times New Roman" w:cs="Times New Roman"/>
          <w:sz w:val="24"/>
          <w:szCs w:val="24"/>
          <w:lang w:eastAsia="en-ZW"/>
        </w:rPr>
        <w:t>’</w:t>
      </w:r>
      <w:r w:rsidRPr="00037173">
        <w:rPr>
          <w:rFonts w:ascii="Times New Roman" w:eastAsia="Times New Roman" w:hAnsi="Times New Roman" w:cs="Times New Roman"/>
          <w:sz w:val="24"/>
          <w:szCs w:val="24"/>
          <w:lang w:eastAsia="en-ZW"/>
        </w:rPr>
        <w:t xml:space="preserve"> special</w:t>
      </w:r>
      <w:r w:rsidR="00037173" w:rsidRPr="00037173">
        <w:rPr>
          <w:rFonts w:ascii="Times New Roman" w:eastAsia="Times New Roman" w:hAnsi="Times New Roman" w:cs="Times New Roman"/>
          <w:sz w:val="24"/>
          <w:szCs w:val="24"/>
          <w:lang w:eastAsia="en-ZW"/>
        </w:rPr>
        <w:t xml:space="preserve"> plea, which challenges the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 xml:space="preserve">s jurisdiction based on the monetary limits of the </w:t>
      </w:r>
      <w:r>
        <w:rPr>
          <w:rFonts w:ascii="Times New Roman" w:eastAsia="Times New Roman" w:hAnsi="Times New Roman" w:cs="Times New Roman"/>
          <w:sz w:val="24"/>
          <w:szCs w:val="24"/>
          <w:lang w:eastAsia="en-ZW"/>
        </w:rPr>
        <w:t>m</w:t>
      </w:r>
      <w:r w:rsidR="00037173" w:rsidRPr="00037173">
        <w:rPr>
          <w:rFonts w:ascii="Times New Roman" w:eastAsia="Times New Roman" w:hAnsi="Times New Roman" w:cs="Times New Roman"/>
          <w:sz w:val="24"/>
          <w:szCs w:val="24"/>
          <w:lang w:eastAsia="en-ZW"/>
        </w:rPr>
        <w:t xml:space="preserve">agistrates </w:t>
      </w:r>
      <w:r>
        <w:rPr>
          <w:rFonts w:ascii="Times New Roman" w:eastAsia="Times New Roman" w:hAnsi="Times New Roman" w:cs="Times New Roman"/>
          <w:sz w:val="24"/>
          <w:szCs w:val="24"/>
          <w:lang w:eastAsia="en-ZW"/>
        </w:rPr>
        <w:t>c</w:t>
      </w:r>
      <w:r w:rsidR="00037173" w:rsidRPr="00037173">
        <w:rPr>
          <w:rFonts w:ascii="Times New Roman" w:eastAsia="Times New Roman" w:hAnsi="Times New Roman" w:cs="Times New Roman"/>
          <w:sz w:val="24"/>
          <w:szCs w:val="24"/>
          <w:lang w:eastAsia="en-ZW"/>
        </w:rPr>
        <w:t>ourt and the existence of the Commercial Division, is without merit. The High Court</w:t>
      </w:r>
      <w:r>
        <w:rPr>
          <w:rFonts w:ascii="Times New Roman" w:eastAsia="Times New Roman" w:hAnsi="Times New Roman" w:cs="Times New Roman"/>
          <w:sz w:val="24"/>
          <w:szCs w:val="24"/>
          <w:lang w:eastAsia="en-ZW"/>
        </w:rPr>
        <w:t>’</w:t>
      </w:r>
      <w:r w:rsidR="00037173" w:rsidRPr="00037173">
        <w:rPr>
          <w:rFonts w:ascii="Times New Roman" w:eastAsia="Times New Roman" w:hAnsi="Times New Roman" w:cs="Times New Roman"/>
          <w:sz w:val="24"/>
          <w:szCs w:val="24"/>
          <w:lang w:eastAsia="en-ZW"/>
        </w:rPr>
        <w:t>s original and inherent jurisdiction, as well as its broad authority under Zimbabwean law, clearly empower it to adjudicate this dispute.</w:t>
      </w:r>
      <w:r w:rsidR="00C71AD8">
        <w:rPr>
          <w:rFonts w:ascii="Times New Roman" w:eastAsia="Times New Roman" w:hAnsi="Times New Roman" w:cs="Times New Roman"/>
          <w:sz w:val="24"/>
          <w:szCs w:val="24"/>
          <w:lang w:eastAsia="en-ZW"/>
        </w:rPr>
        <w:t xml:space="preserve"> </w:t>
      </w:r>
    </w:p>
    <w:p w14:paraId="093D0412" w14:textId="77777777" w:rsidR="00782EC6" w:rsidRDefault="00C71AD8" w:rsidP="00782EC6">
      <w:pPr>
        <w:spacing w:after="0" w:line="36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037173" w:rsidRPr="00037173">
        <w:rPr>
          <w:rFonts w:ascii="Times New Roman" w:eastAsia="Times New Roman" w:hAnsi="Times New Roman" w:cs="Times New Roman"/>
          <w:sz w:val="24"/>
          <w:szCs w:val="24"/>
          <w:lang w:eastAsia="en-ZW"/>
        </w:rPr>
        <w:t xml:space="preserve">Accordingly, the special plea raised by the </w:t>
      </w:r>
      <w:r>
        <w:rPr>
          <w:rFonts w:ascii="Times New Roman" w:eastAsia="Times New Roman" w:hAnsi="Times New Roman" w:cs="Times New Roman"/>
          <w:sz w:val="24"/>
          <w:szCs w:val="24"/>
          <w:lang w:eastAsia="en-ZW"/>
        </w:rPr>
        <w:t>d</w:t>
      </w:r>
      <w:r w:rsidR="00037173" w:rsidRPr="00037173">
        <w:rPr>
          <w:rFonts w:ascii="Times New Roman" w:eastAsia="Times New Roman" w:hAnsi="Times New Roman" w:cs="Times New Roman"/>
          <w:sz w:val="24"/>
          <w:szCs w:val="24"/>
          <w:lang w:eastAsia="en-ZW"/>
        </w:rPr>
        <w:t>efendants is dismissed with cost</w:t>
      </w:r>
      <w:r w:rsidR="00BA7EBD">
        <w:rPr>
          <w:rFonts w:ascii="Times New Roman" w:eastAsia="Times New Roman" w:hAnsi="Times New Roman" w:cs="Times New Roman"/>
          <w:sz w:val="24"/>
          <w:szCs w:val="24"/>
          <w:lang w:eastAsia="en-ZW"/>
        </w:rPr>
        <w:t>s and it is ordered as follows</w:t>
      </w:r>
      <w:r>
        <w:rPr>
          <w:rFonts w:ascii="Times New Roman" w:eastAsia="Times New Roman" w:hAnsi="Times New Roman" w:cs="Times New Roman"/>
          <w:sz w:val="24"/>
          <w:szCs w:val="24"/>
          <w:lang w:eastAsia="en-ZW"/>
        </w:rPr>
        <w:t>:</w:t>
      </w:r>
    </w:p>
    <w:p w14:paraId="63E1DF91" w14:textId="2B00434F" w:rsidR="00037173" w:rsidRPr="00782EC6" w:rsidRDefault="00037173" w:rsidP="00782EC6">
      <w:pPr>
        <w:pStyle w:val="ListParagraph"/>
        <w:numPr>
          <w:ilvl w:val="0"/>
          <w:numId w:val="2"/>
        </w:numPr>
        <w:spacing w:after="0" w:line="360" w:lineRule="auto"/>
        <w:jc w:val="both"/>
        <w:outlineLvl w:val="3"/>
        <w:rPr>
          <w:rFonts w:ascii="Times New Roman" w:eastAsia="Times New Roman" w:hAnsi="Times New Roman" w:cs="Times New Roman"/>
          <w:sz w:val="24"/>
          <w:szCs w:val="24"/>
          <w:lang w:eastAsia="en-ZW"/>
        </w:rPr>
      </w:pPr>
      <w:r w:rsidRPr="00782EC6">
        <w:rPr>
          <w:rFonts w:ascii="Times New Roman" w:eastAsia="Times New Roman" w:hAnsi="Times New Roman" w:cs="Times New Roman"/>
          <w:sz w:val="24"/>
          <w:szCs w:val="24"/>
          <w:lang w:eastAsia="en-ZW"/>
        </w:rPr>
        <w:t xml:space="preserve">The special plea raised by the </w:t>
      </w:r>
      <w:r w:rsidR="00782EC6">
        <w:rPr>
          <w:rFonts w:ascii="Times New Roman" w:eastAsia="Times New Roman" w:hAnsi="Times New Roman" w:cs="Times New Roman"/>
          <w:sz w:val="24"/>
          <w:szCs w:val="24"/>
          <w:lang w:eastAsia="en-ZW"/>
        </w:rPr>
        <w:t xml:space="preserve">second </w:t>
      </w:r>
      <w:r w:rsidRPr="00782EC6">
        <w:rPr>
          <w:rFonts w:ascii="Times New Roman" w:eastAsia="Times New Roman" w:hAnsi="Times New Roman" w:cs="Times New Roman"/>
          <w:sz w:val="24"/>
          <w:szCs w:val="24"/>
          <w:lang w:eastAsia="en-ZW"/>
        </w:rPr>
        <w:t xml:space="preserve">and </w:t>
      </w:r>
      <w:r w:rsidR="00782EC6">
        <w:rPr>
          <w:rFonts w:ascii="Times New Roman" w:eastAsia="Times New Roman" w:hAnsi="Times New Roman" w:cs="Times New Roman"/>
          <w:sz w:val="24"/>
          <w:szCs w:val="24"/>
          <w:lang w:eastAsia="en-ZW"/>
        </w:rPr>
        <w:t>third</w:t>
      </w:r>
      <w:r w:rsidRPr="00782EC6">
        <w:rPr>
          <w:rFonts w:ascii="Times New Roman" w:eastAsia="Times New Roman" w:hAnsi="Times New Roman" w:cs="Times New Roman"/>
          <w:sz w:val="24"/>
          <w:szCs w:val="24"/>
          <w:lang w:eastAsia="en-ZW"/>
        </w:rPr>
        <w:t xml:space="preserve"> </w:t>
      </w:r>
      <w:r w:rsidR="00782EC6">
        <w:rPr>
          <w:rFonts w:ascii="Times New Roman" w:eastAsia="Times New Roman" w:hAnsi="Times New Roman" w:cs="Times New Roman"/>
          <w:sz w:val="24"/>
          <w:szCs w:val="24"/>
          <w:lang w:eastAsia="en-ZW"/>
        </w:rPr>
        <w:t>d</w:t>
      </w:r>
      <w:r w:rsidRPr="00782EC6">
        <w:rPr>
          <w:rFonts w:ascii="Times New Roman" w:eastAsia="Times New Roman" w:hAnsi="Times New Roman" w:cs="Times New Roman"/>
          <w:sz w:val="24"/>
          <w:szCs w:val="24"/>
          <w:lang w:eastAsia="en-ZW"/>
        </w:rPr>
        <w:t>efendants is dismissed with costs.</w:t>
      </w:r>
    </w:p>
    <w:p w14:paraId="7662AAA5" w14:textId="03E3CD8D" w:rsidR="00BA7EBD" w:rsidRPr="00782EC6" w:rsidRDefault="00BA7EBD" w:rsidP="00782EC6">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782EC6">
        <w:rPr>
          <w:rFonts w:ascii="Times New Roman" w:eastAsia="Times New Roman" w:hAnsi="Times New Roman" w:cs="Times New Roman"/>
          <w:sz w:val="24"/>
          <w:szCs w:val="24"/>
          <w:lang w:eastAsia="en-ZW"/>
        </w:rPr>
        <w:t>The matter shall proceed in terms of the rules</w:t>
      </w:r>
      <w:r w:rsidR="00782EC6">
        <w:rPr>
          <w:rFonts w:ascii="Times New Roman" w:eastAsia="Times New Roman" w:hAnsi="Times New Roman" w:cs="Times New Roman"/>
          <w:sz w:val="24"/>
          <w:szCs w:val="24"/>
          <w:lang w:eastAsia="en-ZW"/>
        </w:rPr>
        <w:t xml:space="preserve">.  </w:t>
      </w:r>
    </w:p>
    <w:p w14:paraId="0CF0E150" w14:textId="77777777" w:rsidR="00782EC6" w:rsidRDefault="00782EC6" w:rsidP="00DF1290">
      <w:pPr>
        <w:spacing w:before="100" w:beforeAutospacing="1" w:after="100" w:afterAutospacing="1" w:line="240" w:lineRule="auto"/>
        <w:ind w:left="360"/>
        <w:jc w:val="both"/>
        <w:rPr>
          <w:rFonts w:ascii="Times New Roman" w:eastAsia="Times New Roman" w:hAnsi="Times New Roman" w:cs="Times New Roman"/>
          <w:sz w:val="24"/>
          <w:szCs w:val="24"/>
          <w:lang w:eastAsia="en-ZW"/>
        </w:rPr>
      </w:pPr>
    </w:p>
    <w:p w14:paraId="1C5631F7" w14:textId="77777777" w:rsidR="00E83F7C" w:rsidRDefault="00E83F7C" w:rsidP="00E83F7C">
      <w:pPr>
        <w:spacing w:after="0" w:line="240" w:lineRule="auto"/>
        <w:jc w:val="both"/>
        <w:rPr>
          <w:rFonts w:ascii="Times New Roman" w:eastAsia="Times New Roman" w:hAnsi="Times New Roman" w:cs="Times New Roman"/>
          <w:smallCaps/>
          <w:sz w:val="24"/>
          <w:szCs w:val="24"/>
          <w:lang w:eastAsia="en-ZW"/>
        </w:rPr>
      </w:pPr>
    </w:p>
    <w:p w14:paraId="7B2E6973" w14:textId="72C7C448" w:rsidR="00E83F7C" w:rsidRDefault="00E83F7C" w:rsidP="00E83F7C">
      <w:pPr>
        <w:spacing w:after="0" w:line="240" w:lineRule="auto"/>
        <w:jc w:val="both"/>
        <w:rPr>
          <w:rFonts w:ascii="Times New Roman" w:eastAsia="Times New Roman" w:hAnsi="Times New Roman" w:cs="Times New Roman"/>
          <w:sz w:val="24"/>
          <w:szCs w:val="24"/>
          <w:lang w:eastAsia="en-ZW"/>
        </w:rPr>
      </w:pPr>
      <w:r w:rsidRPr="00E83F7C">
        <w:rPr>
          <w:rFonts w:ascii="Times New Roman" w:eastAsia="Times New Roman" w:hAnsi="Times New Roman" w:cs="Times New Roman"/>
          <w:smallCaps/>
          <w:sz w:val="24"/>
          <w:szCs w:val="24"/>
          <w:lang w:eastAsia="en-ZW"/>
        </w:rPr>
        <w:t>Mambara</w:t>
      </w:r>
      <w:r w:rsidRPr="0031222A">
        <w:rPr>
          <w:rFonts w:ascii="Times New Roman" w:eastAsia="Times New Roman" w:hAnsi="Times New Roman" w:cs="Times New Roman"/>
          <w:sz w:val="24"/>
          <w:szCs w:val="24"/>
          <w:lang w:eastAsia="en-ZW"/>
        </w:rPr>
        <w:t xml:space="preserve"> J</w:t>
      </w:r>
      <w:r>
        <w:rPr>
          <w:rFonts w:ascii="Times New Roman" w:eastAsia="Times New Roman" w:hAnsi="Times New Roman" w:cs="Times New Roman"/>
          <w:sz w:val="24"/>
          <w:szCs w:val="24"/>
          <w:lang w:eastAsia="en-ZW"/>
        </w:rPr>
        <w:t>:…………………………………</w:t>
      </w:r>
    </w:p>
    <w:p w14:paraId="74C1FF1B" w14:textId="77777777" w:rsidR="00E83F7C" w:rsidRDefault="00E83F7C" w:rsidP="00E83F7C">
      <w:pPr>
        <w:spacing w:after="0" w:line="240" w:lineRule="auto"/>
        <w:jc w:val="both"/>
        <w:rPr>
          <w:rFonts w:ascii="Times New Roman" w:eastAsia="Times New Roman" w:hAnsi="Times New Roman" w:cs="Times New Roman"/>
          <w:sz w:val="24"/>
          <w:szCs w:val="24"/>
          <w:lang w:eastAsia="en-ZW"/>
        </w:rPr>
      </w:pPr>
    </w:p>
    <w:p w14:paraId="51649FE0" w14:textId="77777777" w:rsidR="00E83F7C" w:rsidRPr="0031222A" w:rsidRDefault="00E83F7C" w:rsidP="00E83F7C">
      <w:pPr>
        <w:spacing w:after="0" w:line="240" w:lineRule="auto"/>
        <w:jc w:val="both"/>
        <w:rPr>
          <w:rFonts w:ascii="Times New Roman" w:eastAsia="Times New Roman" w:hAnsi="Times New Roman" w:cs="Times New Roman"/>
          <w:sz w:val="24"/>
          <w:szCs w:val="24"/>
          <w:lang w:eastAsia="en-ZW"/>
        </w:rPr>
      </w:pPr>
    </w:p>
    <w:p w14:paraId="5C42C0FC" w14:textId="77777777" w:rsidR="00782EC6" w:rsidRPr="00E83F7C" w:rsidRDefault="00782EC6" w:rsidP="00037173">
      <w:pPr>
        <w:spacing w:after="0" w:line="240" w:lineRule="auto"/>
        <w:jc w:val="both"/>
        <w:rPr>
          <w:rFonts w:ascii="Times New Roman" w:eastAsia="Times New Roman" w:hAnsi="Times New Roman" w:cs="Times New Roman"/>
          <w:sz w:val="24"/>
          <w:szCs w:val="24"/>
          <w:lang w:eastAsia="en-ZW"/>
        </w:rPr>
      </w:pPr>
    </w:p>
    <w:p w14:paraId="5433523D" w14:textId="799FAE03" w:rsidR="00037173" w:rsidRDefault="00DF1290" w:rsidP="00037173">
      <w:pPr>
        <w:spacing w:after="0" w:line="240" w:lineRule="auto"/>
        <w:jc w:val="both"/>
        <w:rPr>
          <w:rFonts w:ascii="Times New Roman" w:eastAsia="Times New Roman" w:hAnsi="Times New Roman" w:cs="Times New Roman"/>
          <w:sz w:val="24"/>
          <w:szCs w:val="24"/>
          <w:lang w:eastAsia="en-ZW"/>
        </w:rPr>
      </w:pPr>
      <w:r w:rsidRPr="00782EC6">
        <w:rPr>
          <w:rFonts w:ascii="Times New Roman" w:eastAsia="Times New Roman" w:hAnsi="Times New Roman" w:cs="Times New Roman"/>
          <w:i/>
          <w:sz w:val="24"/>
          <w:szCs w:val="24"/>
          <w:lang w:eastAsia="en-ZW"/>
        </w:rPr>
        <w:t xml:space="preserve">Cyprian </w:t>
      </w:r>
      <w:r w:rsidR="00782EC6">
        <w:rPr>
          <w:rFonts w:ascii="Times New Roman" w:eastAsia="Times New Roman" w:hAnsi="Times New Roman" w:cs="Times New Roman"/>
          <w:i/>
          <w:sz w:val="24"/>
          <w:szCs w:val="24"/>
          <w:lang w:eastAsia="en-ZW"/>
        </w:rPr>
        <w:t>L</w:t>
      </w:r>
      <w:r w:rsidRPr="00782EC6">
        <w:rPr>
          <w:rFonts w:ascii="Times New Roman" w:eastAsia="Times New Roman" w:hAnsi="Times New Roman" w:cs="Times New Roman"/>
          <w:i/>
          <w:sz w:val="24"/>
          <w:szCs w:val="24"/>
          <w:lang w:eastAsia="en-ZW"/>
        </w:rPr>
        <w:t>aw</w:t>
      </w:r>
      <w:r>
        <w:rPr>
          <w:rFonts w:ascii="Times New Roman" w:eastAsia="Times New Roman" w:hAnsi="Times New Roman" w:cs="Times New Roman"/>
          <w:sz w:val="24"/>
          <w:szCs w:val="24"/>
          <w:lang w:eastAsia="en-ZW"/>
        </w:rPr>
        <w:t>, plaintiff’s legal practitioners</w:t>
      </w:r>
    </w:p>
    <w:p w14:paraId="2BB389C9" w14:textId="2077C628" w:rsidR="00DF1290" w:rsidRPr="00037173" w:rsidRDefault="00DF1290" w:rsidP="00037173">
      <w:pPr>
        <w:spacing w:after="0" w:line="240" w:lineRule="auto"/>
        <w:jc w:val="both"/>
        <w:rPr>
          <w:rFonts w:ascii="Times New Roman" w:eastAsia="Times New Roman" w:hAnsi="Times New Roman" w:cs="Times New Roman"/>
          <w:sz w:val="24"/>
          <w:szCs w:val="24"/>
          <w:lang w:eastAsia="en-ZW"/>
        </w:rPr>
      </w:pPr>
      <w:r w:rsidRPr="00782EC6">
        <w:rPr>
          <w:rFonts w:ascii="Times New Roman" w:eastAsia="Times New Roman" w:hAnsi="Times New Roman" w:cs="Times New Roman"/>
          <w:i/>
          <w:sz w:val="24"/>
          <w:szCs w:val="24"/>
          <w:lang w:eastAsia="en-ZW"/>
        </w:rPr>
        <w:t>Tembani Gomo Law Practice</w:t>
      </w:r>
      <w:r w:rsidR="00782EC6">
        <w:rPr>
          <w:rFonts w:ascii="Times New Roman" w:eastAsia="Times New Roman" w:hAnsi="Times New Roman" w:cs="Times New Roman"/>
          <w:sz w:val="24"/>
          <w:szCs w:val="24"/>
          <w:lang w:eastAsia="en-ZW"/>
        </w:rPr>
        <w:t>, second</w:t>
      </w:r>
      <w:r>
        <w:rPr>
          <w:rFonts w:ascii="Times New Roman" w:eastAsia="Times New Roman" w:hAnsi="Times New Roman" w:cs="Times New Roman"/>
          <w:sz w:val="24"/>
          <w:szCs w:val="24"/>
          <w:lang w:eastAsia="en-ZW"/>
        </w:rPr>
        <w:t xml:space="preserve"> and </w:t>
      </w:r>
      <w:r w:rsidR="00782EC6">
        <w:rPr>
          <w:rFonts w:ascii="Times New Roman" w:eastAsia="Times New Roman" w:hAnsi="Times New Roman" w:cs="Times New Roman"/>
          <w:sz w:val="24"/>
          <w:szCs w:val="24"/>
          <w:lang w:eastAsia="en-ZW"/>
        </w:rPr>
        <w:t>third</w:t>
      </w:r>
      <w:r>
        <w:rPr>
          <w:rFonts w:ascii="Times New Roman" w:eastAsia="Times New Roman" w:hAnsi="Times New Roman" w:cs="Times New Roman"/>
          <w:sz w:val="24"/>
          <w:szCs w:val="24"/>
          <w:lang w:eastAsia="en-ZW"/>
        </w:rPr>
        <w:t xml:space="preserve"> defendants’ legal practitioners</w:t>
      </w:r>
    </w:p>
    <w:p w14:paraId="64F509C3" w14:textId="77777777" w:rsidR="000F2E53" w:rsidRDefault="000F2E53" w:rsidP="00037173">
      <w:pPr>
        <w:jc w:val="both"/>
      </w:pPr>
    </w:p>
    <w:sectPr w:rsidR="000F2E5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6D496" w14:textId="77777777" w:rsidR="00200676" w:rsidRDefault="00200676" w:rsidP="00303A7B">
      <w:pPr>
        <w:spacing w:after="0" w:line="240" w:lineRule="auto"/>
      </w:pPr>
      <w:r>
        <w:separator/>
      </w:r>
    </w:p>
  </w:endnote>
  <w:endnote w:type="continuationSeparator" w:id="0">
    <w:p w14:paraId="03CDB846" w14:textId="77777777" w:rsidR="00200676" w:rsidRDefault="00200676" w:rsidP="00303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9C310" w14:textId="77777777" w:rsidR="00200676" w:rsidRDefault="00200676" w:rsidP="00303A7B">
      <w:pPr>
        <w:spacing w:after="0" w:line="240" w:lineRule="auto"/>
      </w:pPr>
      <w:r>
        <w:separator/>
      </w:r>
    </w:p>
  </w:footnote>
  <w:footnote w:type="continuationSeparator" w:id="0">
    <w:p w14:paraId="2C6B9F56" w14:textId="77777777" w:rsidR="00200676" w:rsidRDefault="00200676" w:rsidP="00303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733062"/>
      <w:docPartObj>
        <w:docPartGallery w:val="Page Numbers (Top of Page)"/>
        <w:docPartUnique/>
      </w:docPartObj>
    </w:sdtPr>
    <w:sdtEndPr>
      <w:rPr>
        <w:noProof/>
      </w:rPr>
    </w:sdtEndPr>
    <w:sdtContent>
      <w:p w14:paraId="30D13862" w14:textId="770EDB5F" w:rsidR="005617FD" w:rsidRDefault="005617FD">
        <w:pPr>
          <w:pStyle w:val="Header"/>
          <w:jc w:val="right"/>
          <w:rPr>
            <w:noProof/>
          </w:rPr>
        </w:pPr>
        <w:r>
          <w:fldChar w:fldCharType="begin"/>
        </w:r>
        <w:r>
          <w:instrText xml:space="preserve"> PAGE   \* MERGEFORMAT </w:instrText>
        </w:r>
        <w:r>
          <w:fldChar w:fldCharType="separate"/>
        </w:r>
        <w:r w:rsidR="004779E0">
          <w:rPr>
            <w:noProof/>
          </w:rPr>
          <w:t>1</w:t>
        </w:r>
        <w:r>
          <w:rPr>
            <w:noProof/>
          </w:rPr>
          <w:fldChar w:fldCharType="end"/>
        </w:r>
      </w:p>
      <w:p w14:paraId="47BAAD9A" w14:textId="519880C4" w:rsidR="00B01B23" w:rsidRDefault="00B01B23">
        <w:pPr>
          <w:pStyle w:val="Header"/>
          <w:jc w:val="right"/>
          <w:rPr>
            <w:noProof/>
          </w:rPr>
        </w:pPr>
        <w:r>
          <w:rPr>
            <w:noProof/>
          </w:rPr>
          <w:t>HH 357-24</w:t>
        </w:r>
      </w:p>
      <w:p w14:paraId="512F3075" w14:textId="2109757A" w:rsidR="005617FD" w:rsidRDefault="005617FD">
        <w:pPr>
          <w:pStyle w:val="Header"/>
          <w:jc w:val="right"/>
        </w:pPr>
        <w:r>
          <w:rPr>
            <w:noProof/>
          </w:rPr>
          <w:t>HCH 2213/24</w:t>
        </w:r>
      </w:p>
    </w:sdtContent>
  </w:sdt>
  <w:p w14:paraId="322C20C4" w14:textId="77777777" w:rsidR="00303A7B" w:rsidRDefault="00303A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B5011D"/>
    <w:multiLevelType w:val="hybridMultilevel"/>
    <w:tmpl w:val="591AC8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7A31B3"/>
    <w:multiLevelType w:val="multilevel"/>
    <w:tmpl w:val="A1220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73"/>
    <w:rsid w:val="00037173"/>
    <w:rsid w:val="000A3E22"/>
    <w:rsid w:val="000F2E53"/>
    <w:rsid w:val="00102151"/>
    <w:rsid w:val="00106F42"/>
    <w:rsid w:val="00167EEE"/>
    <w:rsid w:val="001A50C4"/>
    <w:rsid w:val="00200676"/>
    <w:rsid w:val="002E2458"/>
    <w:rsid w:val="002E5D6A"/>
    <w:rsid w:val="002F0930"/>
    <w:rsid w:val="00303A7B"/>
    <w:rsid w:val="00304B76"/>
    <w:rsid w:val="00363708"/>
    <w:rsid w:val="0037596D"/>
    <w:rsid w:val="003C7DE9"/>
    <w:rsid w:val="003E77B3"/>
    <w:rsid w:val="003F466E"/>
    <w:rsid w:val="003F6E03"/>
    <w:rsid w:val="004779E0"/>
    <w:rsid w:val="004A64DF"/>
    <w:rsid w:val="004D7AF2"/>
    <w:rsid w:val="004F5326"/>
    <w:rsid w:val="00516E1C"/>
    <w:rsid w:val="005617FD"/>
    <w:rsid w:val="006121EF"/>
    <w:rsid w:val="006F566A"/>
    <w:rsid w:val="00773287"/>
    <w:rsid w:val="00782EC6"/>
    <w:rsid w:val="00791231"/>
    <w:rsid w:val="007E7554"/>
    <w:rsid w:val="007F0D92"/>
    <w:rsid w:val="00807AC4"/>
    <w:rsid w:val="0085740A"/>
    <w:rsid w:val="008B0877"/>
    <w:rsid w:val="009273FB"/>
    <w:rsid w:val="00A122F3"/>
    <w:rsid w:val="00B01B23"/>
    <w:rsid w:val="00BA7EBD"/>
    <w:rsid w:val="00BE4EE6"/>
    <w:rsid w:val="00BF3465"/>
    <w:rsid w:val="00C71AD8"/>
    <w:rsid w:val="00CF52D8"/>
    <w:rsid w:val="00D00EE1"/>
    <w:rsid w:val="00D33B5B"/>
    <w:rsid w:val="00DF1290"/>
    <w:rsid w:val="00E83F7C"/>
    <w:rsid w:val="00ED6AEB"/>
    <w:rsid w:val="00F67B0D"/>
    <w:rsid w:val="00FF084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E33F"/>
  <w15:chartTrackingRefBased/>
  <w15:docId w15:val="{F1BF1780-7736-4291-8507-0B13F529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37173"/>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paragraph" w:styleId="Heading4">
    <w:name w:val="heading 4"/>
    <w:basedOn w:val="Normal"/>
    <w:link w:val="Heading4Char"/>
    <w:uiPriority w:val="9"/>
    <w:qFormat/>
    <w:rsid w:val="00037173"/>
    <w:pPr>
      <w:spacing w:before="100" w:beforeAutospacing="1" w:after="100" w:afterAutospacing="1" w:line="240" w:lineRule="auto"/>
      <w:outlineLvl w:val="3"/>
    </w:pPr>
    <w:rPr>
      <w:rFonts w:ascii="Times New Roman" w:eastAsia="Times New Roman" w:hAnsi="Times New Roman" w:cs="Times New Roman"/>
      <w:b/>
      <w:bCs/>
      <w:sz w:val="24"/>
      <w:szCs w:val="24"/>
      <w:lang w:eastAsia="en-ZW"/>
    </w:rPr>
  </w:style>
  <w:style w:type="paragraph" w:styleId="Heading5">
    <w:name w:val="heading 5"/>
    <w:basedOn w:val="Normal"/>
    <w:link w:val="Heading5Char"/>
    <w:uiPriority w:val="9"/>
    <w:qFormat/>
    <w:rsid w:val="00037173"/>
    <w:pPr>
      <w:spacing w:before="100" w:beforeAutospacing="1" w:after="100" w:afterAutospacing="1" w:line="240" w:lineRule="auto"/>
      <w:outlineLvl w:val="4"/>
    </w:pPr>
    <w:rPr>
      <w:rFonts w:ascii="Times New Roman" w:eastAsia="Times New Roman" w:hAnsi="Times New Roman" w:cs="Times New Roman"/>
      <w:b/>
      <w:bCs/>
      <w:sz w:val="20"/>
      <w:szCs w:val="20"/>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7173"/>
    <w:rPr>
      <w:rFonts w:ascii="Times New Roman" w:eastAsia="Times New Roman" w:hAnsi="Times New Roman" w:cs="Times New Roman"/>
      <w:b/>
      <w:bCs/>
      <w:sz w:val="27"/>
      <w:szCs w:val="27"/>
      <w:lang w:eastAsia="en-ZW"/>
    </w:rPr>
  </w:style>
  <w:style w:type="character" w:customStyle="1" w:styleId="Heading4Char">
    <w:name w:val="Heading 4 Char"/>
    <w:basedOn w:val="DefaultParagraphFont"/>
    <w:link w:val="Heading4"/>
    <w:uiPriority w:val="9"/>
    <w:rsid w:val="00037173"/>
    <w:rPr>
      <w:rFonts w:ascii="Times New Roman" w:eastAsia="Times New Roman" w:hAnsi="Times New Roman" w:cs="Times New Roman"/>
      <w:b/>
      <w:bCs/>
      <w:sz w:val="24"/>
      <w:szCs w:val="24"/>
      <w:lang w:eastAsia="en-ZW"/>
    </w:rPr>
  </w:style>
  <w:style w:type="character" w:customStyle="1" w:styleId="Heading5Char">
    <w:name w:val="Heading 5 Char"/>
    <w:basedOn w:val="DefaultParagraphFont"/>
    <w:link w:val="Heading5"/>
    <w:uiPriority w:val="9"/>
    <w:rsid w:val="00037173"/>
    <w:rPr>
      <w:rFonts w:ascii="Times New Roman" w:eastAsia="Times New Roman" w:hAnsi="Times New Roman" w:cs="Times New Roman"/>
      <w:b/>
      <w:bCs/>
      <w:sz w:val="20"/>
      <w:szCs w:val="20"/>
      <w:lang w:eastAsia="en-ZW"/>
    </w:rPr>
  </w:style>
  <w:style w:type="paragraph" w:styleId="NormalWeb">
    <w:name w:val="Normal (Web)"/>
    <w:basedOn w:val="Normal"/>
    <w:uiPriority w:val="99"/>
    <w:semiHidden/>
    <w:unhideWhenUsed/>
    <w:rsid w:val="00037173"/>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037173"/>
    <w:rPr>
      <w:b/>
      <w:bCs/>
    </w:rPr>
  </w:style>
  <w:style w:type="character" w:styleId="Emphasis">
    <w:name w:val="Emphasis"/>
    <w:basedOn w:val="DefaultParagraphFont"/>
    <w:uiPriority w:val="20"/>
    <w:qFormat/>
    <w:rsid w:val="00037173"/>
    <w:rPr>
      <w:i/>
      <w:iCs/>
    </w:rPr>
  </w:style>
  <w:style w:type="paragraph" w:styleId="Header">
    <w:name w:val="header"/>
    <w:basedOn w:val="Normal"/>
    <w:link w:val="HeaderChar"/>
    <w:uiPriority w:val="99"/>
    <w:unhideWhenUsed/>
    <w:rsid w:val="00303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A7B"/>
  </w:style>
  <w:style w:type="paragraph" w:styleId="Footer">
    <w:name w:val="footer"/>
    <w:basedOn w:val="Normal"/>
    <w:link w:val="FooterChar"/>
    <w:uiPriority w:val="99"/>
    <w:unhideWhenUsed/>
    <w:rsid w:val="00303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A7B"/>
  </w:style>
  <w:style w:type="paragraph" w:styleId="ListParagraph">
    <w:name w:val="List Paragraph"/>
    <w:basedOn w:val="Normal"/>
    <w:uiPriority w:val="34"/>
    <w:qFormat/>
    <w:rsid w:val="00782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9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2194</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Joel Mambara</dc:creator>
  <cp:keywords/>
  <dc:description/>
  <cp:lastModifiedBy>JSC</cp:lastModifiedBy>
  <cp:revision>2</cp:revision>
  <cp:lastPrinted>2024-08-20T13:38:00Z</cp:lastPrinted>
  <dcterms:created xsi:type="dcterms:W3CDTF">2024-08-23T09:30:00Z</dcterms:created>
  <dcterms:modified xsi:type="dcterms:W3CDTF">2024-08-23T09:30:00Z</dcterms:modified>
</cp:coreProperties>
</file>