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FF4AB" w14:textId="0F386313" w:rsidR="00BA3618" w:rsidRPr="00EA3036" w:rsidRDefault="00BA3618" w:rsidP="00EA3036">
      <w:pPr>
        <w:spacing w:after="0" w:line="240" w:lineRule="auto"/>
        <w:jc w:val="both"/>
        <w:rPr>
          <w:rFonts w:ascii="Times New Roman" w:hAnsi="Times New Roman" w:cs="Times New Roman"/>
          <w:sz w:val="24"/>
          <w:szCs w:val="24"/>
          <w:lang w:val="en-US"/>
        </w:rPr>
      </w:pPr>
      <w:bookmarkStart w:id="0" w:name="_GoBack"/>
      <w:bookmarkEnd w:id="0"/>
      <w:r w:rsidRPr="00EA3036">
        <w:rPr>
          <w:rFonts w:ascii="Times New Roman" w:hAnsi="Times New Roman" w:cs="Times New Roman"/>
          <w:sz w:val="24"/>
          <w:szCs w:val="24"/>
          <w:lang w:val="en-US"/>
        </w:rPr>
        <w:t xml:space="preserve">FRANCESCO MARCONATI                                                                              </w:t>
      </w:r>
    </w:p>
    <w:p w14:paraId="1D33742C" w14:textId="333E35BB" w:rsidR="00BA3618" w:rsidRPr="00EA3036" w:rsidRDefault="00EA3036" w:rsidP="00EA303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00BA3618" w:rsidRPr="00EA3036">
        <w:rPr>
          <w:rFonts w:ascii="Times New Roman" w:hAnsi="Times New Roman" w:cs="Times New Roman"/>
          <w:sz w:val="24"/>
          <w:szCs w:val="24"/>
          <w:lang w:val="en-US"/>
        </w:rPr>
        <w:t xml:space="preserve">ersus </w:t>
      </w:r>
    </w:p>
    <w:p w14:paraId="58156ED7" w14:textId="77777777" w:rsidR="00BA3618" w:rsidRDefault="00BA3618" w:rsidP="00EA3036">
      <w:pPr>
        <w:spacing w:after="0" w:line="240" w:lineRule="auto"/>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THE STATE</w:t>
      </w:r>
    </w:p>
    <w:p w14:paraId="3B455745" w14:textId="77777777" w:rsidR="00EA3036" w:rsidRPr="00EA3036" w:rsidRDefault="00EA3036" w:rsidP="00EA3036">
      <w:pPr>
        <w:spacing w:after="0" w:line="240" w:lineRule="auto"/>
        <w:jc w:val="both"/>
        <w:rPr>
          <w:rFonts w:ascii="Times New Roman" w:hAnsi="Times New Roman" w:cs="Times New Roman"/>
          <w:sz w:val="24"/>
          <w:szCs w:val="24"/>
          <w:lang w:val="en-US"/>
        </w:rPr>
      </w:pPr>
    </w:p>
    <w:p w14:paraId="36EC0E6D" w14:textId="77777777" w:rsidR="00BA3618" w:rsidRPr="00EA3036" w:rsidRDefault="00BA3618" w:rsidP="00EA3036">
      <w:pPr>
        <w:spacing w:after="0" w:line="240" w:lineRule="auto"/>
        <w:jc w:val="both"/>
        <w:rPr>
          <w:rFonts w:ascii="Times New Roman" w:hAnsi="Times New Roman" w:cs="Times New Roman"/>
          <w:sz w:val="24"/>
          <w:szCs w:val="24"/>
          <w:lang w:val="en-US"/>
        </w:rPr>
      </w:pPr>
    </w:p>
    <w:p w14:paraId="78E3B35D" w14:textId="77777777" w:rsidR="00BA3618" w:rsidRPr="00EA3036" w:rsidRDefault="00BA3618" w:rsidP="00EA3036">
      <w:pPr>
        <w:spacing w:after="0" w:line="240" w:lineRule="auto"/>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HIGH COURT OF ZIMBABWE</w:t>
      </w:r>
    </w:p>
    <w:p w14:paraId="50621E0C" w14:textId="77777777" w:rsidR="00BA3618" w:rsidRPr="00EA3036" w:rsidRDefault="00BA3618" w:rsidP="00EA3036">
      <w:pPr>
        <w:spacing w:after="0" w:line="240" w:lineRule="auto"/>
        <w:jc w:val="both"/>
        <w:rPr>
          <w:rFonts w:ascii="Times New Roman" w:hAnsi="Times New Roman" w:cs="Times New Roman"/>
          <w:b/>
          <w:bCs/>
          <w:sz w:val="24"/>
          <w:szCs w:val="24"/>
          <w:lang w:val="en-US"/>
        </w:rPr>
      </w:pPr>
      <w:r w:rsidRPr="00EA3036">
        <w:rPr>
          <w:rFonts w:ascii="Times New Roman" w:hAnsi="Times New Roman" w:cs="Times New Roman"/>
          <w:b/>
          <w:bCs/>
          <w:sz w:val="24"/>
          <w:szCs w:val="24"/>
          <w:lang w:val="en-US"/>
        </w:rPr>
        <w:t>ZHOU &amp; CHIKOWERO JJ</w:t>
      </w:r>
    </w:p>
    <w:p w14:paraId="4998DD78" w14:textId="77777777" w:rsidR="00BA3618" w:rsidRDefault="00BA3618" w:rsidP="00EA3036">
      <w:pPr>
        <w:spacing w:after="0" w:line="240" w:lineRule="auto"/>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HARARE, 19 November &amp; 5 December 2024</w:t>
      </w:r>
    </w:p>
    <w:p w14:paraId="3D1EE8B9" w14:textId="77777777" w:rsidR="00EA3036" w:rsidRPr="00EA3036" w:rsidRDefault="00EA3036" w:rsidP="00EA3036">
      <w:pPr>
        <w:spacing w:after="0" w:line="240" w:lineRule="auto"/>
        <w:jc w:val="both"/>
        <w:rPr>
          <w:rFonts w:ascii="Times New Roman" w:hAnsi="Times New Roman" w:cs="Times New Roman"/>
          <w:sz w:val="24"/>
          <w:szCs w:val="24"/>
          <w:lang w:val="en-US"/>
        </w:rPr>
      </w:pPr>
    </w:p>
    <w:p w14:paraId="125C4022" w14:textId="77777777" w:rsidR="00BA3618" w:rsidRPr="00EA3036" w:rsidRDefault="00BA3618" w:rsidP="00EA3036">
      <w:pPr>
        <w:spacing w:after="0" w:line="240" w:lineRule="auto"/>
        <w:jc w:val="both"/>
        <w:rPr>
          <w:rFonts w:ascii="Times New Roman" w:hAnsi="Times New Roman" w:cs="Times New Roman"/>
          <w:sz w:val="24"/>
          <w:szCs w:val="24"/>
          <w:lang w:val="en-US"/>
        </w:rPr>
      </w:pPr>
    </w:p>
    <w:p w14:paraId="59E5F11E" w14:textId="77777777" w:rsidR="00BA3618" w:rsidRDefault="00BA3618" w:rsidP="00EA3036">
      <w:pPr>
        <w:spacing w:after="0" w:line="240" w:lineRule="auto"/>
        <w:jc w:val="both"/>
        <w:rPr>
          <w:rFonts w:ascii="Times New Roman" w:hAnsi="Times New Roman" w:cs="Times New Roman"/>
          <w:b/>
          <w:bCs/>
          <w:sz w:val="24"/>
          <w:szCs w:val="24"/>
          <w:lang w:val="en-US"/>
        </w:rPr>
      </w:pPr>
      <w:r w:rsidRPr="00EA3036">
        <w:rPr>
          <w:rFonts w:ascii="Times New Roman" w:hAnsi="Times New Roman" w:cs="Times New Roman"/>
          <w:b/>
          <w:bCs/>
          <w:sz w:val="24"/>
          <w:szCs w:val="24"/>
          <w:lang w:val="en-US"/>
        </w:rPr>
        <w:t>Criminal Appeal</w:t>
      </w:r>
    </w:p>
    <w:p w14:paraId="66779E07" w14:textId="77777777" w:rsidR="00EA3036" w:rsidRPr="00EA3036" w:rsidRDefault="00EA3036" w:rsidP="00EA3036">
      <w:pPr>
        <w:spacing w:after="0" w:line="240" w:lineRule="auto"/>
        <w:jc w:val="both"/>
        <w:rPr>
          <w:rFonts w:ascii="Times New Roman" w:hAnsi="Times New Roman" w:cs="Times New Roman"/>
          <w:b/>
          <w:bCs/>
          <w:sz w:val="24"/>
          <w:szCs w:val="24"/>
          <w:lang w:val="en-US"/>
        </w:rPr>
      </w:pPr>
    </w:p>
    <w:p w14:paraId="2AB85870" w14:textId="77777777" w:rsidR="00BA3618" w:rsidRPr="00EA3036" w:rsidRDefault="00BA3618" w:rsidP="00EA3036">
      <w:pPr>
        <w:spacing w:after="0" w:line="240" w:lineRule="auto"/>
        <w:jc w:val="both"/>
        <w:rPr>
          <w:rFonts w:ascii="Times New Roman" w:hAnsi="Times New Roman" w:cs="Times New Roman"/>
          <w:b/>
          <w:bCs/>
          <w:sz w:val="24"/>
          <w:szCs w:val="24"/>
          <w:lang w:val="en-US"/>
        </w:rPr>
      </w:pPr>
    </w:p>
    <w:p w14:paraId="41352FBB" w14:textId="5A4378E3" w:rsidR="00BA3618" w:rsidRPr="00EA3036" w:rsidRDefault="00BA3618" w:rsidP="00EA3036">
      <w:pPr>
        <w:spacing w:after="0" w:line="240" w:lineRule="auto"/>
        <w:jc w:val="both"/>
        <w:rPr>
          <w:rFonts w:ascii="Times New Roman" w:hAnsi="Times New Roman" w:cs="Times New Roman"/>
          <w:sz w:val="24"/>
          <w:szCs w:val="24"/>
          <w:lang w:val="en-US"/>
        </w:rPr>
      </w:pPr>
      <w:r w:rsidRPr="00EA3036">
        <w:rPr>
          <w:rFonts w:ascii="Times New Roman" w:hAnsi="Times New Roman" w:cs="Times New Roman"/>
          <w:i/>
          <w:iCs/>
          <w:sz w:val="24"/>
          <w:szCs w:val="24"/>
          <w:lang w:val="en-US"/>
        </w:rPr>
        <w:t>T L Mapuranga</w:t>
      </w:r>
      <w:r w:rsidRPr="00EA3036">
        <w:rPr>
          <w:rFonts w:ascii="Times New Roman" w:hAnsi="Times New Roman" w:cs="Times New Roman"/>
          <w:sz w:val="24"/>
          <w:szCs w:val="24"/>
          <w:lang w:val="en-US"/>
        </w:rPr>
        <w:t xml:space="preserve">, with him </w:t>
      </w:r>
      <w:r w:rsidRPr="00EA3036">
        <w:rPr>
          <w:rFonts w:ascii="Times New Roman" w:hAnsi="Times New Roman" w:cs="Times New Roman"/>
          <w:i/>
          <w:iCs/>
          <w:sz w:val="24"/>
          <w:szCs w:val="24"/>
          <w:lang w:val="en-US"/>
        </w:rPr>
        <w:t>C Chingwe</w:t>
      </w:r>
      <w:r w:rsidRPr="00EA3036">
        <w:rPr>
          <w:rFonts w:ascii="Times New Roman" w:hAnsi="Times New Roman" w:cs="Times New Roman"/>
          <w:sz w:val="24"/>
          <w:szCs w:val="24"/>
          <w:lang w:val="en-US"/>
        </w:rPr>
        <w:t>, for the appellant</w:t>
      </w:r>
    </w:p>
    <w:p w14:paraId="31383172" w14:textId="363F10AF" w:rsidR="00BA3618" w:rsidRPr="00EA3036" w:rsidRDefault="00BA3618" w:rsidP="00EA3036">
      <w:pPr>
        <w:spacing w:after="0" w:line="240" w:lineRule="auto"/>
        <w:jc w:val="both"/>
        <w:rPr>
          <w:rFonts w:ascii="Times New Roman" w:hAnsi="Times New Roman" w:cs="Times New Roman"/>
          <w:sz w:val="24"/>
          <w:szCs w:val="24"/>
          <w:lang w:val="en-US"/>
        </w:rPr>
      </w:pPr>
      <w:r w:rsidRPr="00EA3036">
        <w:rPr>
          <w:rFonts w:ascii="Times New Roman" w:hAnsi="Times New Roman" w:cs="Times New Roman"/>
          <w:i/>
          <w:iCs/>
          <w:sz w:val="24"/>
          <w:szCs w:val="24"/>
          <w:lang w:val="en-US"/>
        </w:rPr>
        <w:t xml:space="preserve">T Kangai </w:t>
      </w:r>
      <w:r w:rsidRPr="00EA3036">
        <w:rPr>
          <w:rFonts w:ascii="Times New Roman" w:hAnsi="Times New Roman" w:cs="Times New Roman"/>
          <w:sz w:val="24"/>
          <w:szCs w:val="24"/>
          <w:lang w:val="en-US"/>
        </w:rPr>
        <w:t>for the respondent</w:t>
      </w:r>
    </w:p>
    <w:p w14:paraId="133B1146" w14:textId="77777777" w:rsidR="00BA3618" w:rsidRDefault="00BA3618" w:rsidP="00BA3618">
      <w:pPr>
        <w:spacing w:line="360" w:lineRule="auto"/>
        <w:jc w:val="both"/>
        <w:rPr>
          <w:sz w:val="24"/>
          <w:szCs w:val="24"/>
          <w:lang w:val="en-US"/>
        </w:rPr>
      </w:pPr>
    </w:p>
    <w:p w14:paraId="11C678FE" w14:textId="77777777" w:rsidR="008A5A14" w:rsidRPr="00EA3036" w:rsidRDefault="00BA3618" w:rsidP="00DC0B89">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 xml:space="preserve">ZHOU J: This </w:t>
      </w:r>
      <w:r w:rsidR="00C163D9" w:rsidRPr="00EA3036">
        <w:rPr>
          <w:rFonts w:ascii="Times New Roman" w:hAnsi="Times New Roman" w:cs="Times New Roman"/>
          <w:sz w:val="24"/>
          <w:szCs w:val="24"/>
          <w:lang w:val="en-US"/>
        </w:rPr>
        <w:t xml:space="preserve">an appeal against conviction </w:t>
      </w:r>
      <w:r w:rsidR="00AE0563" w:rsidRPr="00EA3036">
        <w:rPr>
          <w:rFonts w:ascii="Times New Roman" w:hAnsi="Times New Roman" w:cs="Times New Roman"/>
          <w:sz w:val="24"/>
          <w:szCs w:val="24"/>
          <w:lang w:val="en-US"/>
        </w:rPr>
        <w:t>only.  The appellant was convicted on two counts</w:t>
      </w:r>
      <w:r w:rsidR="002905F8" w:rsidRPr="00EA3036">
        <w:rPr>
          <w:rFonts w:ascii="Times New Roman" w:hAnsi="Times New Roman" w:cs="Times New Roman"/>
          <w:sz w:val="24"/>
          <w:szCs w:val="24"/>
          <w:lang w:val="en-US"/>
        </w:rPr>
        <w:t>, one of fraud as defined in s 136 (b) of the Criminal Law (Codification and Reform) Act [</w:t>
      </w:r>
      <w:r w:rsidR="002905F8" w:rsidRPr="00EA3036">
        <w:rPr>
          <w:rFonts w:ascii="Times New Roman" w:hAnsi="Times New Roman" w:cs="Times New Roman"/>
          <w:i/>
          <w:iCs/>
          <w:sz w:val="24"/>
          <w:szCs w:val="24"/>
          <w:lang w:val="en-US"/>
        </w:rPr>
        <w:t>Chapter 9:23</w:t>
      </w:r>
      <w:r w:rsidR="002905F8" w:rsidRPr="00EA3036">
        <w:rPr>
          <w:rFonts w:ascii="Times New Roman" w:hAnsi="Times New Roman" w:cs="Times New Roman"/>
          <w:sz w:val="24"/>
          <w:szCs w:val="24"/>
          <w:lang w:val="en-US"/>
        </w:rPr>
        <w:t>], and a second count of contravening s 67 of the Companies and Other Business Entities Act [</w:t>
      </w:r>
      <w:r w:rsidR="008A5A14" w:rsidRPr="00EA3036">
        <w:rPr>
          <w:rFonts w:ascii="Times New Roman" w:hAnsi="Times New Roman" w:cs="Times New Roman"/>
          <w:i/>
          <w:iCs/>
          <w:sz w:val="24"/>
          <w:szCs w:val="24"/>
          <w:lang w:val="en-US"/>
        </w:rPr>
        <w:t>Chapter 24:31</w:t>
      </w:r>
      <w:r w:rsidR="002905F8" w:rsidRPr="00EA3036">
        <w:rPr>
          <w:rFonts w:ascii="Times New Roman" w:hAnsi="Times New Roman" w:cs="Times New Roman"/>
          <w:sz w:val="24"/>
          <w:szCs w:val="24"/>
          <w:lang w:val="en-US"/>
        </w:rPr>
        <w:t>] as read with</w:t>
      </w:r>
      <w:r w:rsidR="008A5A14" w:rsidRPr="00EA3036">
        <w:rPr>
          <w:rFonts w:ascii="Times New Roman" w:hAnsi="Times New Roman" w:cs="Times New Roman"/>
          <w:sz w:val="24"/>
          <w:szCs w:val="24"/>
          <w:lang w:val="en-US"/>
        </w:rPr>
        <w:t xml:space="preserve"> s 202 (1) of the same Act.</w:t>
      </w:r>
    </w:p>
    <w:p w14:paraId="7A15466B" w14:textId="77777777" w:rsidR="00481F93" w:rsidRPr="00EA3036" w:rsidRDefault="008A5A14" w:rsidP="00DC0B89">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The appeal is opposed by the respondent.</w:t>
      </w:r>
    </w:p>
    <w:p w14:paraId="3C20E8BB" w14:textId="5AAB68A5" w:rsidR="00116393" w:rsidRPr="00EA3036" w:rsidRDefault="00481F93"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 xml:space="preserve">In respect of the first count, that of fraud, the allegations against the appellant were that on 14 October 2021, 21 December 2022 and 27 November 2023 at the Registrar of Companies, Harare, the appellant </w:t>
      </w:r>
      <w:r w:rsidR="00C434EE" w:rsidRPr="00EA3036">
        <w:rPr>
          <w:rFonts w:ascii="Times New Roman" w:hAnsi="Times New Roman" w:cs="Times New Roman"/>
          <w:sz w:val="24"/>
          <w:szCs w:val="24"/>
          <w:lang w:val="en-US"/>
        </w:rPr>
        <w:t xml:space="preserve">forged minutes of a general meeting and a Form CR6, which was never filed at the Registrar of Companies but was submitted to Ecobank, intending to cause Li Song to act upon the misrepresentation to her prejudice or realising that there was a real risk or possibility that Li Song might act upon it to her prejudice.  The allegation was that following the submission of the documents referred to above Li Song was removed as a signatory to the </w:t>
      </w:r>
      <w:r w:rsidR="005F65DB" w:rsidRPr="00EA3036">
        <w:rPr>
          <w:rFonts w:ascii="Times New Roman" w:hAnsi="Times New Roman" w:cs="Times New Roman"/>
          <w:sz w:val="24"/>
          <w:szCs w:val="24"/>
          <w:lang w:val="en-US"/>
        </w:rPr>
        <w:t>bank.  The further allegation is that</w:t>
      </w:r>
      <w:r w:rsidR="00C434EE" w:rsidRPr="00EA3036">
        <w:rPr>
          <w:rFonts w:ascii="Times New Roman" w:hAnsi="Times New Roman" w:cs="Times New Roman"/>
          <w:sz w:val="24"/>
          <w:szCs w:val="24"/>
          <w:lang w:val="en-US"/>
        </w:rPr>
        <w:t xml:space="preserve"> the submission of two other CR6 Forms</w:t>
      </w:r>
      <w:r w:rsidR="00A20667" w:rsidRPr="00EA3036">
        <w:rPr>
          <w:rFonts w:ascii="Times New Roman" w:hAnsi="Times New Roman" w:cs="Times New Roman"/>
          <w:sz w:val="24"/>
          <w:szCs w:val="24"/>
          <w:lang w:val="en-US"/>
        </w:rPr>
        <w:t xml:space="preserve"> which he tendered to the Registrar of Companies thereby resigning Li Song from her directorship of Eagle Italian Shoes (Private) Limited company and also resigning Agrilink as the Company Secretary</w:t>
      </w:r>
      <w:r w:rsidR="005F65DB" w:rsidRPr="00EA3036">
        <w:rPr>
          <w:rFonts w:ascii="Times New Roman" w:hAnsi="Times New Roman" w:cs="Times New Roman"/>
          <w:sz w:val="24"/>
          <w:szCs w:val="24"/>
          <w:lang w:val="en-US"/>
        </w:rPr>
        <w:t xml:space="preserve"> constituted the offence of fraud</w:t>
      </w:r>
      <w:r w:rsidR="00A20667" w:rsidRPr="00EA3036">
        <w:rPr>
          <w:rFonts w:ascii="Times New Roman" w:hAnsi="Times New Roman" w:cs="Times New Roman"/>
          <w:sz w:val="24"/>
          <w:szCs w:val="24"/>
          <w:lang w:val="en-US"/>
        </w:rPr>
        <w:t>.</w:t>
      </w:r>
    </w:p>
    <w:p w14:paraId="39F8C273" w14:textId="59AC0E7A" w:rsidR="00116393" w:rsidRPr="00EA3036" w:rsidRDefault="00116393"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 xml:space="preserve">In respect of count two, the allegations were that on 21 December 2022 and 27 November 2023 at the Registrar of Companies in Harare, the appellant unlawfully and intentionally made false statements in </w:t>
      </w:r>
      <w:r w:rsidR="00D7181B" w:rsidRPr="00EA3036">
        <w:rPr>
          <w:rFonts w:ascii="Times New Roman" w:hAnsi="Times New Roman" w:cs="Times New Roman"/>
          <w:sz w:val="24"/>
          <w:szCs w:val="24"/>
          <w:lang w:val="en-US"/>
        </w:rPr>
        <w:t xml:space="preserve">some </w:t>
      </w:r>
      <w:r w:rsidRPr="00EA3036">
        <w:rPr>
          <w:rFonts w:ascii="Times New Roman" w:hAnsi="Times New Roman" w:cs="Times New Roman"/>
          <w:sz w:val="24"/>
          <w:szCs w:val="24"/>
          <w:lang w:val="en-US"/>
        </w:rPr>
        <w:t>forms</w:t>
      </w:r>
      <w:r w:rsidR="00D7181B" w:rsidRPr="00EA3036">
        <w:rPr>
          <w:rFonts w:ascii="Times New Roman" w:hAnsi="Times New Roman" w:cs="Times New Roman"/>
          <w:sz w:val="24"/>
          <w:szCs w:val="24"/>
          <w:lang w:val="en-US"/>
        </w:rPr>
        <w:t>.  The said statement was</w:t>
      </w:r>
      <w:r w:rsidRPr="00EA3036">
        <w:rPr>
          <w:rFonts w:ascii="Times New Roman" w:hAnsi="Times New Roman" w:cs="Times New Roman"/>
          <w:sz w:val="24"/>
          <w:szCs w:val="24"/>
          <w:lang w:val="en-US"/>
        </w:rPr>
        <w:t xml:space="preserve"> that Li Song had resigned her directorship in Eagle Italian Shoes (Private) Limited and that Agrilink had </w:t>
      </w:r>
      <w:r w:rsidRPr="00EA3036">
        <w:rPr>
          <w:rFonts w:ascii="Times New Roman" w:hAnsi="Times New Roman" w:cs="Times New Roman"/>
          <w:sz w:val="24"/>
          <w:szCs w:val="24"/>
          <w:lang w:val="en-US"/>
        </w:rPr>
        <w:lastRenderedPageBreak/>
        <w:t>resigned from its position as the Company Secretary of the said company.  It is further stated that the appellant had appointed his own son as one of the directors of the company.</w:t>
      </w:r>
    </w:p>
    <w:p w14:paraId="630788AD" w14:textId="77777777" w:rsidR="00FF0325" w:rsidRPr="00EA3036" w:rsidRDefault="00116393"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 xml:space="preserve">Following the leading of evidence, the Court </w:t>
      </w:r>
      <w:r w:rsidR="00250B77" w:rsidRPr="00EA3036">
        <w:rPr>
          <w:rFonts w:ascii="Times New Roman" w:hAnsi="Times New Roman" w:cs="Times New Roman"/>
          <w:i/>
          <w:sz w:val="24"/>
          <w:szCs w:val="24"/>
          <w:lang w:val="en-US"/>
        </w:rPr>
        <w:t xml:space="preserve">a quo </w:t>
      </w:r>
      <w:r w:rsidR="00250B77" w:rsidRPr="00EA3036">
        <w:rPr>
          <w:rFonts w:ascii="Times New Roman" w:hAnsi="Times New Roman" w:cs="Times New Roman"/>
          <w:sz w:val="24"/>
          <w:szCs w:val="24"/>
          <w:lang w:val="en-US"/>
        </w:rPr>
        <w:t>concluded that the guilt of the appellant had been proved beyond reasonable doubt.</w:t>
      </w:r>
    </w:p>
    <w:p w14:paraId="40C91DBC" w14:textId="70E15F36" w:rsidR="00EC14A9" w:rsidRPr="00EA3036" w:rsidRDefault="00FF0325"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In seeking to impeach the judgment the appellant</w:t>
      </w:r>
      <w:r w:rsidR="00A07EB6" w:rsidRPr="00EA3036">
        <w:rPr>
          <w:rFonts w:ascii="Times New Roman" w:hAnsi="Times New Roman" w:cs="Times New Roman"/>
          <w:sz w:val="24"/>
          <w:szCs w:val="24"/>
          <w:lang w:val="en-US"/>
        </w:rPr>
        <w:t xml:space="preserve"> </w:t>
      </w:r>
      <w:r w:rsidR="005F65DB" w:rsidRPr="00EA3036">
        <w:rPr>
          <w:rFonts w:ascii="Times New Roman" w:hAnsi="Times New Roman" w:cs="Times New Roman"/>
          <w:sz w:val="24"/>
          <w:szCs w:val="24"/>
          <w:lang w:val="en-US"/>
        </w:rPr>
        <w:t>relies on five</w:t>
      </w:r>
      <w:r w:rsidR="00A07EB6" w:rsidRPr="00EA3036">
        <w:rPr>
          <w:rFonts w:ascii="Times New Roman" w:hAnsi="Times New Roman" w:cs="Times New Roman"/>
          <w:sz w:val="24"/>
          <w:szCs w:val="24"/>
          <w:lang w:val="en-US"/>
        </w:rPr>
        <w:t xml:space="preserve"> grounds which essentially raise three issues, namely: (1) whether the defence of </w:t>
      </w:r>
      <w:r w:rsidR="00A07EB6" w:rsidRPr="00EA3036">
        <w:rPr>
          <w:rFonts w:ascii="Times New Roman" w:hAnsi="Times New Roman" w:cs="Times New Roman"/>
          <w:i/>
          <w:sz w:val="24"/>
          <w:szCs w:val="24"/>
          <w:lang w:val="en-US"/>
        </w:rPr>
        <w:t>autrefois acquit</w:t>
      </w:r>
      <w:r w:rsidR="007B2C71" w:rsidRPr="00EA3036">
        <w:rPr>
          <w:rFonts w:ascii="Times New Roman" w:hAnsi="Times New Roman" w:cs="Times New Roman"/>
          <w:sz w:val="24"/>
          <w:szCs w:val="24"/>
          <w:lang w:val="en-US"/>
        </w:rPr>
        <w:t xml:space="preserve"> ought to have been upheld, (2</w:t>
      </w:r>
      <w:r w:rsidR="00A07EB6" w:rsidRPr="00EA3036">
        <w:rPr>
          <w:rFonts w:ascii="Times New Roman" w:hAnsi="Times New Roman" w:cs="Times New Roman"/>
          <w:sz w:val="24"/>
          <w:szCs w:val="24"/>
          <w:lang w:val="en-US"/>
        </w:rPr>
        <w:t xml:space="preserve">) whether the Court </w:t>
      </w:r>
      <w:r w:rsidR="00A07EB6" w:rsidRPr="00EA3036">
        <w:rPr>
          <w:rFonts w:ascii="Times New Roman" w:hAnsi="Times New Roman" w:cs="Times New Roman"/>
          <w:i/>
          <w:sz w:val="24"/>
          <w:szCs w:val="24"/>
          <w:lang w:val="en-US"/>
        </w:rPr>
        <w:t xml:space="preserve">a quo </w:t>
      </w:r>
      <w:r w:rsidR="00D62191" w:rsidRPr="00EA3036">
        <w:rPr>
          <w:rFonts w:ascii="Times New Roman" w:hAnsi="Times New Roman" w:cs="Times New Roman"/>
          <w:sz w:val="24"/>
          <w:szCs w:val="24"/>
          <w:lang w:val="en-US"/>
        </w:rPr>
        <w:t xml:space="preserve">misdirected itself in finding that the appellant acted unlawfully in removing </w:t>
      </w:r>
      <w:r w:rsidR="00172B94" w:rsidRPr="00EA3036">
        <w:rPr>
          <w:rFonts w:ascii="Times New Roman" w:hAnsi="Times New Roman" w:cs="Times New Roman"/>
          <w:sz w:val="24"/>
          <w:szCs w:val="24"/>
          <w:lang w:val="en-US"/>
        </w:rPr>
        <w:t>Li Song as director and Agrilink as the Company Secretary, of Eagle Italian Shoe Company given that the appellant had be</w:t>
      </w:r>
      <w:r w:rsidR="00D7181B" w:rsidRPr="00EA3036">
        <w:rPr>
          <w:rFonts w:ascii="Times New Roman" w:hAnsi="Times New Roman" w:cs="Times New Roman"/>
          <w:sz w:val="24"/>
          <w:szCs w:val="24"/>
          <w:lang w:val="en-US"/>
        </w:rPr>
        <w:t>en cleared of any wrong doing following</w:t>
      </w:r>
      <w:r w:rsidR="00172B94" w:rsidRPr="00EA3036">
        <w:rPr>
          <w:rFonts w:ascii="Times New Roman" w:hAnsi="Times New Roman" w:cs="Times New Roman"/>
          <w:sz w:val="24"/>
          <w:szCs w:val="24"/>
          <w:lang w:val="en-US"/>
        </w:rPr>
        <w:t xml:space="preserve"> his acquit</w:t>
      </w:r>
      <w:r w:rsidR="00CE03AD" w:rsidRPr="00EA3036">
        <w:rPr>
          <w:rFonts w:ascii="Times New Roman" w:hAnsi="Times New Roman" w:cs="Times New Roman"/>
          <w:sz w:val="24"/>
          <w:szCs w:val="24"/>
          <w:lang w:val="en-US"/>
        </w:rPr>
        <w:t>t</w:t>
      </w:r>
      <w:r w:rsidR="00172B94" w:rsidRPr="00EA3036">
        <w:rPr>
          <w:rFonts w:ascii="Times New Roman" w:hAnsi="Times New Roman" w:cs="Times New Roman"/>
          <w:sz w:val="24"/>
          <w:szCs w:val="24"/>
          <w:lang w:val="en-US"/>
        </w:rPr>
        <w:t xml:space="preserve">al in </w:t>
      </w:r>
      <w:r w:rsidR="00CE03AD" w:rsidRPr="00EA3036">
        <w:rPr>
          <w:rFonts w:ascii="Times New Roman" w:hAnsi="Times New Roman" w:cs="Times New Roman"/>
          <w:sz w:val="24"/>
          <w:szCs w:val="24"/>
          <w:lang w:val="en-US"/>
        </w:rPr>
        <w:t xml:space="preserve"> Case Number HREP 1289/22, and also in view of the fact that appellant in any</w:t>
      </w:r>
      <w:r w:rsidR="00527E73" w:rsidRPr="00EA3036">
        <w:rPr>
          <w:rFonts w:ascii="Times New Roman" w:hAnsi="Times New Roman" w:cs="Times New Roman"/>
          <w:sz w:val="24"/>
          <w:szCs w:val="24"/>
          <w:lang w:val="en-US"/>
        </w:rPr>
        <w:t xml:space="preserve"> </w:t>
      </w:r>
      <w:r w:rsidR="00CE03AD" w:rsidRPr="00EA3036">
        <w:rPr>
          <w:rFonts w:ascii="Times New Roman" w:hAnsi="Times New Roman" w:cs="Times New Roman"/>
          <w:sz w:val="24"/>
          <w:szCs w:val="24"/>
          <w:lang w:val="en-US"/>
        </w:rPr>
        <w:t>event held</w:t>
      </w:r>
      <w:r w:rsidR="00527E73" w:rsidRPr="00EA3036">
        <w:rPr>
          <w:rFonts w:ascii="Times New Roman" w:hAnsi="Times New Roman" w:cs="Times New Roman"/>
          <w:sz w:val="24"/>
          <w:szCs w:val="24"/>
          <w:lang w:val="en-US"/>
        </w:rPr>
        <w:t xml:space="preserve"> the majority shareholding in the company</w:t>
      </w:r>
      <w:r w:rsidR="007B2C71" w:rsidRPr="00EA3036">
        <w:rPr>
          <w:rFonts w:ascii="Times New Roman" w:hAnsi="Times New Roman" w:cs="Times New Roman"/>
          <w:sz w:val="24"/>
          <w:szCs w:val="24"/>
          <w:lang w:val="en-US"/>
        </w:rPr>
        <w:t xml:space="preserve">, and (3) whether the use of the word “resigned” in describing the manner in which the complainant and the erstwhile Company Secretary left the company constituted an offence of </w:t>
      </w:r>
      <w:r w:rsidR="004F057A" w:rsidRPr="00EA3036">
        <w:rPr>
          <w:rFonts w:ascii="Times New Roman" w:hAnsi="Times New Roman" w:cs="Times New Roman"/>
          <w:sz w:val="24"/>
          <w:szCs w:val="24"/>
          <w:lang w:val="en-US"/>
        </w:rPr>
        <w:t>fraud or contravention of the cited provisions of the Companies and Other Business Entities Act</w:t>
      </w:r>
      <w:r w:rsidR="00527E73" w:rsidRPr="00EA3036">
        <w:rPr>
          <w:rFonts w:ascii="Times New Roman" w:hAnsi="Times New Roman" w:cs="Times New Roman"/>
          <w:sz w:val="24"/>
          <w:szCs w:val="24"/>
          <w:lang w:val="en-US"/>
        </w:rPr>
        <w:t>.</w:t>
      </w:r>
    </w:p>
    <w:p w14:paraId="35870A07" w14:textId="110E8C23" w:rsidR="00A43028" w:rsidRPr="00EA3036" w:rsidRDefault="00EC14A9"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 xml:space="preserve">The essentials of the offence of fraud are ably and elegantly articulated by both the Court </w:t>
      </w:r>
      <w:r w:rsidRPr="00EA3036">
        <w:rPr>
          <w:rFonts w:ascii="Times New Roman" w:hAnsi="Times New Roman" w:cs="Times New Roman"/>
          <w:i/>
          <w:sz w:val="24"/>
          <w:szCs w:val="24"/>
          <w:lang w:val="en-US"/>
        </w:rPr>
        <w:t xml:space="preserve">a quo </w:t>
      </w:r>
      <w:r w:rsidRPr="00EA3036">
        <w:rPr>
          <w:rFonts w:ascii="Times New Roman" w:hAnsi="Times New Roman" w:cs="Times New Roman"/>
          <w:sz w:val="24"/>
          <w:szCs w:val="24"/>
          <w:lang w:val="en-US"/>
        </w:rPr>
        <w:t>in its judgment and counsel in the heads of argument filed on behalf of the parties.  In essence, the offence is constituted by the making of a misrepresentation (false statement) to a person who acts on that statement to his or her detriment or the making of such  false statement realizing the risk or possibility that the person to w</w:t>
      </w:r>
      <w:r w:rsidR="007B2C71" w:rsidRPr="00EA3036">
        <w:rPr>
          <w:rFonts w:ascii="Times New Roman" w:hAnsi="Times New Roman" w:cs="Times New Roman"/>
          <w:sz w:val="24"/>
          <w:szCs w:val="24"/>
          <w:lang w:val="en-US"/>
        </w:rPr>
        <w:t>hom the misrepresentation is mad</w:t>
      </w:r>
      <w:r w:rsidRPr="00EA3036">
        <w:rPr>
          <w:rFonts w:ascii="Times New Roman" w:hAnsi="Times New Roman" w:cs="Times New Roman"/>
          <w:sz w:val="24"/>
          <w:szCs w:val="24"/>
          <w:lang w:val="en-US"/>
        </w:rPr>
        <w:t xml:space="preserve">e may act thereon to his or her prejudice.  In other words, the prejudice or potential prejudice must be to the person to whom the misrepresentation was made and </w:t>
      </w:r>
      <w:r w:rsidR="001126FD" w:rsidRPr="00EA3036">
        <w:rPr>
          <w:rFonts w:ascii="Times New Roman" w:hAnsi="Times New Roman" w:cs="Times New Roman"/>
          <w:sz w:val="24"/>
          <w:szCs w:val="24"/>
          <w:lang w:val="en-US"/>
        </w:rPr>
        <w:t xml:space="preserve">who has or could act upon such false representation.  </w:t>
      </w:r>
      <w:r w:rsidR="001126FD" w:rsidRPr="00EA3036">
        <w:rPr>
          <w:rFonts w:ascii="Times New Roman" w:hAnsi="Times New Roman" w:cs="Times New Roman"/>
          <w:i/>
          <w:sz w:val="24"/>
          <w:szCs w:val="24"/>
          <w:lang w:val="en-US"/>
        </w:rPr>
        <w:t xml:space="preserve">In casu </w:t>
      </w:r>
      <w:r w:rsidR="001126FD" w:rsidRPr="00EA3036">
        <w:rPr>
          <w:rFonts w:ascii="Times New Roman" w:hAnsi="Times New Roman" w:cs="Times New Roman"/>
          <w:sz w:val="24"/>
          <w:szCs w:val="24"/>
          <w:lang w:val="en-US"/>
        </w:rPr>
        <w:t xml:space="preserve">the allegations contained in the charge sheet </w:t>
      </w:r>
      <w:r w:rsidR="00C25DAD" w:rsidRPr="00EA3036">
        <w:rPr>
          <w:rFonts w:ascii="Times New Roman" w:hAnsi="Times New Roman" w:cs="Times New Roman"/>
          <w:sz w:val="24"/>
          <w:szCs w:val="24"/>
          <w:lang w:val="en-US"/>
        </w:rPr>
        <w:t>in respect of the fraud count clearly show that no misrepresentation was made to the complainant, Li Song.  Instead, the facts alleged are that the misrepresentation was made to Ecobank or to the Registrar of Companies.</w:t>
      </w:r>
      <w:r w:rsidR="00E80A52" w:rsidRPr="00EA3036">
        <w:rPr>
          <w:rFonts w:ascii="Times New Roman" w:hAnsi="Times New Roman" w:cs="Times New Roman"/>
          <w:sz w:val="24"/>
          <w:szCs w:val="24"/>
          <w:lang w:val="en-US"/>
        </w:rPr>
        <w:t xml:space="preserve">  The evidence led from the state witnesses, in particular Li Song, essentially supported the allegations in the charge sheet.  In essence, the evidence failed to establish the essentials of the offence of fraud, because the alleged representation was not made to the person who is alleged to have been prejudiced or potentially prejudiced.</w:t>
      </w:r>
      <w:r w:rsidR="009744CB" w:rsidRPr="00EA3036">
        <w:rPr>
          <w:rFonts w:ascii="Times New Roman" w:hAnsi="Times New Roman" w:cs="Times New Roman"/>
          <w:sz w:val="24"/>
          <w:szCs w:val="24"/>
          <w:lang w:val="en-US"/>
        </w:rPr>
        <w:t xml:space="preserve">  </w:t>
      </w:r>
      <w:r w:rsidR="007508DB" w:rsidRPr="00EA3036">
        <w:rPr>
          <w:rFonts w:ascii="Times New Roman" w:hAnsi="Times New Roman" w:cs="Times New Roman"/>
          <w:sz w:val="24"/>
          <w:szCs w:val="24"/>
          <w:lang w:val="en-US"/>
        </w:rPr>
        <w:t xml:space="preserve">The learned Magistrate in the Court </w:t>
      </w:r>
      <w:r w:rsidR="007508DB" w:rsidRPr="00EA3036">
        <w:rPr>
          <w:rFonts w:ascii="Times New Roman" w:hAnsi="Times New Roman" w:cs="Times New Roman"/>
          <w:i/>
          <w:sz w:val="24"/>
          <w:szCs w:val="24"/>
          <w:lang w:val="en-US"/>
        </w:rPr>
        <w:t xml:space="preserve">a quo </w:t>
      </w:r>
      <w:r w:rsidR="007508DB" w:rsidRPr="00EA3036">
        <w:rPr>
          <w:rFonts w:ascii="Times New Roman" w:hAnsi="Times New Roman" w:cs="Times New Roman"/>
          <w:sz w:val="24"/>
          <w:szCs w:val="24"/>
          <w:lang w:val="en-US"/>
        </w:rPr>
        <w:t xml:space="preserve">repeated these very same allegations but surprisingly relied upon them to come to the conclusion that the offence of fraud had been committed.  Clearly, the allegations as contained in the charge sheet and the state outline, the evidence of the prosecution witnesses, and the facts found as proved by the court </w:t>
      </w:r>
      <w:r w:rsidR="007508DB" w:rsidRPr="00EA3036">
        <w:rPr>
          <w:rFonts w:ascii="Times New Roman" w:hAnsi="Times New Roman" w:cs="Times New Roman"/>
          <w:i/>
          <w:sz w:val="24"/>
          <w:szCs w:val="24"/>
          <w:lang w:val="en-US"/>
        </w:rPr>
        <w:t xml:space="preserve">a quo, </w:t>
      </w:r>
      <w:r w:rsidR="007508DB" w:rsidRPr="00EA3036">
        <w:rPr>
          <w:rFonts w:ascii="Times New Roman" w:hAnsi="Times New Roman" w:cs="Times New Roman"/>
          <w:sz w:val="24"/>
          <w:szCs w:val="24"/>
          <w:lang w:val="en-US"/>
        </w:rPr>
        <w:t xml:space="preserve">all do not support the finding of guilty.  </w:t>
      </w:r>
      <w:r w:rsidR="009744CB" w:rsidRPr="00EA3036">
        <w:rPr>
          <w:rFonts w:ascii="Times New Roman" w:hAnsi="Times New Roman" w:cs="Times New Roman"/>
          <w:sz w:val="24"/>
          <w:szCs w:val="24"/>
          <w:lang w:val="en-US"/>
        </w:rPr>
        <w:t>On this basis alone the conviction could not stand</w:t>
      </w:r>
      <w:r w:rsidR="0059268A" w:rsidRPr="00EA3036">
        <w:rPr>
          <w:rFonts w:ascii="Times New Roman" w:hAnsi="Times New Roman" w:cs="Times New Roman"/>
          <w:sz w:val="24"/>
          <w:szCs w:val="24"/>
          <w:lang w:val="en-US"/>
        </w:rPr>
        <w:t>, and the appellant ought to have been acquitted.</w:t>
      </w:r>
    </w:p>
    <w:p w14:paraId="3ABD7889" w14:textId="77777777" w:rsidR="009B5ADF" w:rsidRPr="00EA3036" w:rsidRDefault="00A43028"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lastRenderedPageBreak/>
        <w:t xml:space="preserve">The plea of </w:t>
      </w:r>
      <w:r w:rsidRPr="00EA3036">
        <w:rPr>
          <w:rFonts w:ascii="Times New Roman" w:hAnsi="Times New Roman" w:cs="Times New Roman"/>
          <w:i/>
          <w:sz w:val="24"/>
          <w:szCs w:val="24"/>
          <w:lang w:val="en-US"/>
        </w:rPr>
        <w:t xml:space="preserve">autrefois acquit </w:t>
      </w:r>
      <w:r w:rsidRPr="00EA3036">
        <w:rPr>
          <w:rFonts w:ascii="Times New Roman" w:hAnsi="Times New Roman" w:cs="Times New Roman"/>
          <w:sz w:val="24"/>
          <w:szCs w:val="24"/>
          <w:lang w:val="en-US"/>
        </w:rPr>
        <w:t>is predicated upon the appellant having been acquitted in respect of</w:t>
      </w:r>
      <w:r w:rsidR="00F768CA" w:rsidRPr="00EA3036">
        <w:rPr>
          <w:rFonts w:ascii="Times New Roman" w:hAnsi="Times New Roman" w:cs="Times New Roman"/>
          <w:sz w:val="24"/>
          <w:szCs w:val="24"/>
          <w:lang w:val="en-US"/>
        </w:rPr>
        <w:t xml:space="preserve"> one transaction which preceded the other transactions upon which the charge of fraud and that of contravention of the provisions of the Companies and Other Business Entities Act are based.  Although these other submissions of the company returns proceeded on the backdrop of the acquittal</w:t>
      </w:r>
      <w:r w:rsidR="007B2C71" w:rsidRPr="00EA3036">
        <w:rPr>
          <w:rFonts w:ascii="Times New Roman" w:hAnsi="Times New Roman" w:cs="Times New Roman"/>
          <w:sz w:val="24"/>
          <w:szCs w:val="24"/>
          <w:lang w:val="en-US"/>
        </w:rPr>
        <w:t>,</w:t>
      </w:r>
      <w:r w:rsidR="00F768CA" w:rsidRPr="00EA3036">
        <w:rPr>
          <w:rFonts w:ascii="Times New Roman" w:hAnsi="Times New Roman" w:cs="Times New Roman"/>
          <w:sz w:val="24"/>
          <w:szCs w:val="24"/>
          <w:lang w:val="en-US"/>
        </w:rPr>
        <w:t xml:space="preserve"> they could not properly ground the </w:t>
      </w:r>
      <w:r w:rsidR="00F768CA" w:rsidRPr="00EA3036">
        <w:rPr>
          <w:rFonts w:ascii="Times New Roman" w:hAnsi="Times New Roman" w:cs="Times New Roman"/>
          <w:i/>
          <w:sz w:val="24"/>
          <w:szCs w:val="24"/>
          <w:lang w:val="en-US"/>
        </w:rPr>
        <w:t xml:space="preserve">autrefois </w:t>
      </w:r>
      <w:r w:rsidR="00F768CA" w:rsidRPr="00EA3036">
        <w:rPr>
          <w:rFonts w:ascii="Times New Roman" w:hAnsi="Times New Roman" w:cs="Times New Roman"/>
          <w:sz w:val="24"/>
          <w:szCs w:val="24"/>
          <w:lang w:val="en-US"/>
        </w:rPr>
        <w:t>acquit plea.  What could be said of them is that the appellant having been acquitted, any transaction that was predicated upon the perceived validity of the first transaction as validated by the acquittal, could not justifiably sustain a conviction.  There could be no fraud or contravention of the Companies and Other Business Entities Act because the appellant clearly acted on the basis that his acquittal meant that he had properly removed</w:t>
      </w:r>
      <w:r w:rsidR="007B2C71" w:rsidRPr="00EA3036">
        <w:rPr>
          <w:rFonts w:ascii="Times New Roman" w:hAnsi="Times New Roman" w:cs="Times New Roman"/>
          <w:sz w:val="24"/>
          <w:szCs w:val="24"/>
          <w:lang w:val="en-US"/>
        </w:rPr>
        <w:t xml:space="preserve"> the complainant from directorship</w:t>
      </w:r>
      <w:r w:rsidR="00F768CA" w:rsidRPr="00EA3036">
        <w:rPr>
          <w:rFonts w:ascii="Times New Roman" w:hAnsi="Times New Roman" w:cs="Times New Roman"/>
          <w:sz w:val="24"/>
          <w:szCs w:val="24"/>
          <w:lang w:val="en-US"/>
        </w:rPr>
        <w:t xml:space="preserve">.  Whether he was mistaken in his understanding of the correct legal position or not is immaterial because the offences concerned clearly require that there be </w:t>
      </w:r>
      <w:r w:rsidR="00F768CA" w:rsidRPr="00EA3036">
        <w:rPr>
          <w:rFonts w:ascii="Times New Roman" w:hAnsi="Times New Roman" w:cs="Times New Roman"/>
          <w:i/>
          <w:sz w:val="24"/>
          <w:szCs w:val="24"/>
          <w:lang w:val="en-US"/>
        </w:rPr>
        <w:t xml:space="preserve">mens rea </w:t>
      </w:r>
      <w:r w:rsidR="00F768CA" w:rsidRPr="00EA3036">
        <w:rPr>
          <w:rFonts w:ascii="Times New Roman" w:hAnsi="Times New Roman" w:cs="Times New Roman"/>
          <w:sz w:val="24"/>
          <w:szCs w:val="24"/>
          <w:lang w:val="en-US"/>
        </w:rPr>
        <w:t>in the form of intention.</w:t>
      </w:r>
      <w:r w:rsidR="004E4549" w:rsidRPr="00EA3036">
        <w:rPr>
          <w:rFonts w:ascii="Times New Roman" w:hAnsi="Times New Roman" w:cs="Times New Roman"/>
          <w:sz w:val="24"/>
          <w:szCs w:val="24"/>
          <w:lang w:val="en-US"/>
        </w:rPr>
        <w:t xml:space="preserve">  Be that as it may, nothing turns on the rejection of the plea of </w:t>
      </w:r>
      <w:r w:rsidR="004E4549" w:rsidRPr="00EA3036">
        <w:rPr>
          <w:rFonts w:ascii="Times New Roman" w:hAnsi="Times New Roman" w:cs="Times New Roman"/>
          <w:i/>
          <w:sz w:val="24"/>
          <w:szCs w:val="24"/>
          <w:lang w:val="en-US"/>
        </w:rPr>
        <w:t xml:space="preserve">autrefois acquit </w:t>
      </w:r>
      <w:r w:rsidR="004E4549" w:rsidRPr="00EA3036">
        <w:rPr>
          <w:rFonts w:ascii="Times New Roman" w:hAnsi="Times New Roman" w:cs="Times New Roman"/>
          <w:sz w:val="24"/>
          <w:szCs w:val="24"/>
          <w:lang w:val="en-US"/>
        </w:rPr>
        <w:t xml:space="preserve">in light of what we have noted earlier on in relation to the absence of the essentials of fraud. </w:t>
      </w:r>
    </w:p>
    <w:p w14:paraId="30482349" w14:textId="5732E5B2" w:rsidR="002E4722" w:rsidRPr="00EA3036" w:rsidRDefault="009B5ADF"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Any procedural defects in the removal of a fellow director by the appellant does not constitute a criminal offence.  That is a matter that falls within the purview of the civil law.</w:t>
      </w:r>
    </w:p>
    <w:p w14:paraId="7257887C" w14:textId="66020A2D" w:rsidR="00246BBD" w:rsidRPr="00EA3036" w:rsidRDefault="002E4722"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As for the second count, s 67 as read with s 202(1) of the Companies and Other Business Entities Act</w:t>
      </w:r>
      <w:r w:rsidR="007B2C71" w:rsidRPr="00EA3036">
        <w:rPr>
          <w:rFonts w:ascii="Times New Roman" w:hAnsi="Times New Roman" w:cs="Times New Roman"/>
          <w:sz w:val="24"/>
          <w:szCs w:val="24"/>
          <w:lang w:val="en-US"/>
        </w:rPr>
        <w:t>,</w:t>
      </w:r>
      <w:r w:rsidRPr="00EA3036">
        <w:rPr>
          <w:rFonts w:ascii="Times New Roman" w:hAnsi="Times New Roman" w:cs="Times New Roman"/>
          <w:sz w:val="24"/>
          <w:szCs w:val="24"/>
          <w:lang w:val="en-US"/>
        </w:rPr>
        <w:t xml:space="preserve"> criminalises the making of a false statement in a return or any other document for the purposes of any provisions of the Act.  The factual basis of the conviction </w:t>
      </w:r>
      <w:r w:rsidR="007B2C71" w:rsidRPr="00EA3036">
        <w:rPr>
          <w:rFonts w:ascii="Times New Roman" w:hAnsi="Times New Roman" w:cs="Times New Roman"/>
          <w:i/>
          <w:sz w:val="24"/>
          <w:szCs w:val="24"/>
          <w:lang w:val="en-US"/>
        </w:rPr>
        <w:t xml:space="preserve">in casu </w:t>
      </w:r>
      <w:r w:rsidRPr="00EA3036">
        <w:rPr>
          <w:rFonts w:ascii="Times New Roman" w:hAnsi="Times New Roman" w:cs="Times New Roman"/>
          <w:sz w:val="24"/>
          <w:szCs w:val="24"/>
          <w:lang w:val="en-US"/>
        </w:rPr>
        <w:t xml:space="preserve">was that on the two dates stated in the charge sheet and repeated in the judgment of the Court </w:t>
      </w:r>
      <w:r w:rsidRPr="00EA3036">
        <w:rPr>
          <w:rFonts w:ascii="Times New Roman" w:hAnsi="Times New Roman" w:cs="Times New Roman"/>
          <w:i/>
          <w:sz w:val="24"/>
          <w:szCs w:val="24"/>
          <w:lang w:val="en-US"/>
        </w:rPr>
        <w:t>a quo</w:t>
      </w:r>
      <w:r w:rsidRPr="00EA3036">
        <w:rPr>
          <w:rFonts w:ascii="Times New Roman" w:hAnsi="Times New Roman" w:cs="Times New Roman"/>
          <w:sz w:val="24"/>
          <w:szCs w:val="24"/>
          <w:lang w:val="en-US"/>
        </w:rPr>
        <w:t>, the appellant made false statements in the CR6 Forms to the effect that Li Song and Agrilink had resigned from their positions, yet he had removed them.</w:t>
      </w:r>
      <w:r w:rsidR="00EB29E7" w:rsidRPr="00EA3036">
        <w:rPr>
          <w:rFonts w:ascii="Times New Roman" w:hAnsi="Times New Roman" w:cs="Times New Roman"/>
          <w:sz w:val="24"/>
          <w:szCs w:val="24"/>
          <w:lang w:val="en-US"/>
        </w:rPr>
        <w:t xml:space="preserve">  The appellant’s defence was that he had removed the two pursuant to a meeting that he called and used his majority shareholding to remove Li Song and Agrilink from their positions.  Regarding the use of the word “resigned”, </w:t>
      </w:r>
      <w:r w:rsidR="00DB4E57" w:rsidRPr="00EA3036">
        <w:rPr>
          <w:rFonts w:ascii="Times New Roman" w:hAnsi="Times New Roman" w:cs="Times New Roman"/>
          <w:sz w:val="24"/>
          <w:szCs w:val="24"/>
          <w:lang w:val="en-US"/>
        </w:rPr>
        <w:t>appellant pointed to the notes in the relevant form which limit the options to be filled in regarding how a person would have ceased to be a director.  His submission, as advanced by his counsel, was that he followed advice in choosing the word “resigned” as it was closest to the manner in which the two had ceased to be director and Company Secretary of the Company.</w:t>
      </w:r>
    </w:p>
    <w:p w14:paraId="001397E9" w14:textId="77777777" w:rsidR="00677BB0" w:rsidRPr="00EA3036" w:rsidRDefault="00246BBD" w:rsidP="00EA3036">
      <w:pPr>
        <w:spacing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 xml:space="preserve">The </w:t>
      </w:r>
      <w:r w:rsidR="00677BB0" w:rsidRPr="00EA3036">
        <w:rPr>
          <w:rFonts w:ascii="Times New Roman" w:hAnsi="Times New Roman" w:cs="Times New Roman"/>
          <w:sz w:val="24"/>
          <w:szCs w:val="24"/>
          <w:lang w:val="en-US"/>
        </w:rPr>
        <w:t xml:space="preserve">approach to be embraced in determining whether the prosecution has discharged its evidentiary burden is encapsulated in the leading statement in </w:t>
      </w:r>
      <w:r w:rsidR="00677BB0" w:rsidRPr="00EA3036">
        <w:rPr>
          <w:rFonts w:ascii="Times New Roman" w:hAnsi="Times New Roman" w:cs="Times New Roman"/>
          <w:i/>
          <w:sz w:val="24"/>
          <w:szCs w:val="24"/>
          <w:lang w:val="en-US"/>
        </w:rPr>
        <w:t xml:space="preserve">R </w:t>
      </w:r>
      <w:r w:rsidR="00677BB0" w:rsidRPr="00EA3036">
        <w:rPr>
          <w:rFonts w:ascii="Times New Roman" w:hAnsi="Times New Roman" w:cs="Times New Roman"/>
          <w:iCs/>
          <w:sz w:val="24"/>
          <w:szCs w:val="24"/>
          <w:lang w:val="en-US"/>
        </w:rPr>
        <w:t xml:space="preserve">v </w:t>
      </w:r>
      <w:r w:rsidR="00677BB0" w:rsidRPr="00EA3036">
        <w:rPr>
          <w:rFonts w:ascii="Times New Roman" w:hAnsi="Times New Roman" w:cs="Times New Roman"/>
          <w:i/>
          <w:sz w:val="24"/>
          <w:szCs w:val="24"/>
          <w:lang w:val="en-US"/>
        </w:rPr>
        <w:t xml:space="preserve">Difford </w:t>
      </w:r>
      <w:r w:rsidR="00677BB0" w:rsidRPr="00EA3036">
        <w:rPr>
          <w:rFonts w:ascii="Times New Roman" w:hAnsi="Times New Roman" w:cs="Times New Roman"/>
          <w:sz w:val="24"/>
          <w:szCs w:val="24"/>
          <w:lang w:val="en-US"/>
        </w:rPr>
        <w:t>1937 AD 370 at 372, that:</w:t>
      </w:r>
    </w:p>
    <w:p w14:paraId="14A51940" w14:textId="126168C9" w:rsidR="00677BB0" w:rsidRPr="00EA3036" w:rsidRDefault="00677BB0" w:rsidP="00EA3036">
      <w:pPr>
        <w:spacing w:line="240" w:lineRule="auto"/>
        <w:ind w:left="720"/>
        <w:jc w:val="both"/>
        <w:rPr>
          <w:rFonts w:ascii="Times New Roman" w:hAnsi="Times New Roman" w:cs="Times New Roman"/>
          <w:lang w:val="en-US"/>
        </w:rPr>
      </w:pPr>
      <w:r w:rsidRPr="00EA3036">
        <w:rPr>
          <w:rFonts w:ascii="Times New Roman" w:hAnsi="Times New Roman" w:cs="Times New Roman"/>
          <w:lang w:val="en-US"/>
        </w:rPr>
        <w:t xml:space="preserve">“. . . no onus rests on the accused to convince the Court of the truth of any explanation he gives.  If he gives an explanation, even if the explanation is improbable, the Court is not entitled to </w:t>
      </w:r>
      <w:r w:rsidRPr="00EA3036">
        <w:rPr>
          <w:rFonts w:ascii="Times New Roman" w:hAnsi="Times New Roman" w:cs="Times New Roman"/>
          <w:lang w:val="en-US"/>
        </w:rPr>
        <w:lastRenderedPageBreak/>
        <w:t>convict unless it is satisfied, not only that the explanation is improbable, but that beyond any reasonable doubt it is false.  If there is any reasonable possibility of his explanation being true, then he is entitled to his acquittal . . .”</w:t>
      </w:r>
    </w:p>
    <w:p w14:paraId="33F999BA" w14:textId="77777777" w:rsidR="00677BB0" w:rsidRPr="00EA3036" w:rsidRDefault="00677BB0" w:rsidP="00EA3036">
      <w:pPr>
        <w:spacing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 xml:space="preserve">See also </w:t>
      </w:r>
      <w:r w:rsidRPr="00EA3036">
        <w:rPr>
          <w:rFonts w:ascii="Times New Roman" w:hAnsi="Times New Roman" w:cs="Times New Roman"/>
          <w:i/>
          <w:sz w:val="24"/>
          <w:szCs w:val="24"/>
          <w:lang w:val="en-US"/>
        </w:rPr>
        <w:t xml:space="preserve">S </w:t>
      </w:r>
      <w:r w:rsidRPr="00EA3036">
        <w:rPr>
          <w:rFonts w:ascii="Times New Roman" w:hAnsi="Times New Roman" w:cs="Times New Roman"/>
          <w:iCs/>
          <w:sz w:val="24"/>
          <w:szCs w:val="24"/>
          <w:lang w:val="en-US"/>
        </w:rPr>
        <w:t>v</w:t>
      </w:r>
      <w:r w:rsidRPr="00EA3036">
        <w:rPr>
          <w:rFonts w:ascii="Times New Roman" w:hAnsi="Times New Roman" w:cs="Times New Roman"/>
          <w:i/>
          <w:sz w:val="24"/>
          <w:szCs w:val="24"/>
          <w:lang w:val="en-US"/>
        </w:rPr>
        <w:t xml:space="preserve"> V </w:t>
      </w:r>
      <w:r w:rsidRPr="00EA3036">
        <w:rPr>
          <w:rFonts w:ascii="Times New Roman" w:hAnsi="Times New Roman" w:cs="Times New Roman"/>
          <w:sz w:val="24"/>
          <w:szCs w:val="24"/>
          <w:lang w:val="en-US"/>
        </w:rPr>
        <w:t>2000 (1) SACR 453(SCA).</w:t>
      </w:r>
    </w:p>
    <w:p w14:paraId="40906D89" w14:textId="77777777" w:rsidR="00146CB4" w:rsidRPr="00EA3036" w:rsidRDefault="00677BB0" w:rsidP="00EA3036">
      <w:pPr>
        <w:spacing w:after="0" w:line="360" w:lineRule="auto"/>
        <w:ind w:firstLine="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The wording of the Form</w:t>
      </w:r>
      <w:r w:rsidR="00464546" w:rsidRPr="00EA3036">
        <w:rPr>
          <w:rFonts w:ascii="Times New Roman" w:hAnsi="Times New Roman" w:cs="Times New Roman"/>
          <w:sz w:val="24"/>
          <w:szCs w:val="24"/>
          <w:lang w:val="en-US"/>
        </w:rPr>
        <w:t xml:space="preserve"> CR6 is such that removal as an option for explaining how a person ceased to be a director of a company is not provided for.  The appellant gave an explanation as to why he chose to inscribe the word “resigned”, and further explained that this decision was pursuant to his taking of legal advice.  That explanation cannot be rejected out of hand.  It is based upon a reading</w:t>
      </w:r>
      <w:r w:rsidRPr="00EA3036">
        <w:rPr>
          <w:rFonts w:ascii="Times New Roman" w:hAnsi="Times New Roman" w:cs="Times New Roman"/>
          <w:sz w:val="24"/>
          <w:szCs w:val="24"/>
          <w:lang w:val="en-US"/>
        </w:rPr>
        <w:t xml:space="preserve"> </w:t>
      </w:r>
      <w:r w:rsidR="00464546" w:rsidRPr="00EA3036">
        <w:rPr>
          <w:rFonts w:ascii="Times New Roman" w:hAnsi="Times New Roman" w:cs="Times New Roman"/>
          <w:sz w:val="24"/>
          <w:szCs w:val="24"/>
          <w:lang w:val="en-US"/>
        </w:rPr>
        <w:t>of the provisions of the Form</w:t>
      </w:r>
      <w:r w:rsidR="000D4A6D" w:rsidRPr="00EA3036">
        <w:rPr>
          <w:rFonts w:ascii="Times New Roman" w:hAnsi="Times New Roman" w:cs="Times New Roman"/>
          <w:sz w:val="24"/>
          <w:szCs w:val="24"/>
          <w:lang w:val="en-US"/>
        </w:rPr>
        <w:t>.</w:t>
      </w:r>
      <w:r w:rsidR="00146CB4" w:rsidRPr="00EA3036">
        <w:rPr>
          <w:rFonts w:ascii="Times New Roman" w:hAnsi="Times New Roman" w:cs="Times New Roman"/>
          <w:sz w:val="24"/>
          <w:szCs w:val="24"/>
          <w:lang w:val="en-US"/>
        </w:rPr>
        <w:t xml:space="preserve">  There was therefore no case of making a false statement in the CR6 Form.  For these reasons the conviction for court 2 is also set aside.</w:t>
      </w:r>
    </w:p>
    <w:p w14:paraId="2647D8A3" w14:textId="77777777" w:rsidR="00146CB4" w:rsidRPr="00EA3036" w:rsidRDefault="00146CB4" w:rsidP="00EA3036">
      <w:pPr>
        <w:spacing w:after="0" w:line="360" w:lineRule="auto"/>
        <w:ind w:firstLine="36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In the result, IT IS ORDERED THAT:</w:t>
      </w:r>
    </w:p>
    <w:p w14:paraId="6357A9AB" w14:textId="77777777" w:rsidR="00146CB4" w:rsidRPr="00EA3036" w:rsidRDefault="00146CB4" w:rsidP="00146CB4">
      <w:pPr>
        <w:pStyle w:val="ListParagraph"/>
        <w:numPr>
          <w:ilvl w:val="0"/>
          <w:numId w:val="1"/>
        </w:numPr>
        <w:spacing w:line="360" w:lineRule="auto"/>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The appeal be and is allowed.</w:t>
      </w:r>
    </w:p>
    <w:p w14:paraId="452E3060" w14:textId="77777777" w:rsidR="00146CB4" w:rsidRPr="00EA3036" w:rsidRDefault="00146CB4" w:rsidP="00146CB4">
      <w:pPr>
        <w:pStyle w:val="ListParagraph"/>
        <w:numPr>
          <w:ilvl w:val="0"/>
          <w:numId w:val="1"/>
        </w:numPr>
        <w:spacing w:line="360" w:lineRule="auto"/>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The conviction is quashed and the sentence set aside.  The following is substituted:</w:t>
      </w:r>
    </w:p>
    <w:p w14:paraId="710B482A" w14:textId="77777777" w:rsidR="00146CB4" w:rsidRPr="00EA3036" w:rsidRDefault="00146CB4" w:rsidP="00146CB4">
      <w:pPr>
        <w:spacing w:line="360" w:lineRule="auto"/>
        <w:ind w:left="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“Count 1: Not guilty and acquitted.</w:t>
      </w:r>
    </w:p>
    <w:p w14:paraId="4E565ED2" w14:textId="77777777" w:rsidR="00971D97" w:rsidRPr="00EA3036" w:rsidRDefault="00146CB4" w:rsidP="00146CB4">
      <w:pPr>
        <w:spacing w:line="360" w:lineRule="auto"/>
        <w:ind w:left="720"/>
        <w:jc w:val="both"/>
        <w:rPr>
          <w:rFonts w:ascii="Times New Roman" w:hAnsi="Times New Roman" w:cs="Times New Roman"/>
          <w:sz w:val="24"/>
          <w:szCs w:val="24"/>
          <w:lang w:val="en-US"/>
        </w:rPr>
      </w:pPr>
      <w:r w:rsidRPr="00EA3036">
        <w:rPr>
          <w:rFonts w:ascii="Times New Roman" w:hAnsi="Times New Roman" w:cs="Times New Roman"/>
          <w:sz w:val="24"/>
          <w:szCs w:val="24"/>
          <w:lang w:val="en-US"/>
        </w:rPr>
        <w:t>Count 2:  Not guilty and acquitted.”</w:t>
      </w:r>
      <w:r w:rsidR="00DB4E57" w:rsidRPr="00EA3036">
        <w:rPr>
          <w:rFonts w:ascii="Times New Roman" w:hAnsi="Times New Roman" w:cs="Times New Roman"/>
          <w:sz w:val="24"/>
          <w:szCs w:val="24"/>
          <w:lang w:val="en-US"/>
        </w:rPr>
        <w:t xml:space="preserve">  </w:t>
      </w:r>
      <w:r w:rsidR="00EB29E7" w:rsidRPr="00EA3036">
        <w:rPr>
          <w:rFonts w:ascii="Times New Roman" w:hAnsi="Times New Roman" w:cs="Times New Roman"/>
          <w:sz w:val="24"/>
          <w:szCs w:val="24"/>
          <w:lang w:val="en-US"/>
        </w:rPr>
        <w:t xml:space="preserve"> </w:t>
      </w:r>
      <w:r w:rsidR="002E4722" w:rsidRPr="00EA3036">
        <w:rPr>
          <w:rFonts w:ascii="Times New Roman" w:hAnsi="Times New Roman" w:cs="Times New Roman"/>
          <w:sz w:val="24"/>
          <w:szCs w:val="24"/>
          <w:lang w:val="en-US"/>
        </w:rPr>
        <w:t xml:space="preserve">  </w:t>
      </w:r>
      <w:r w:rsidR="00A43028" w:rsidRPr="00EA3036">
        <w:rPr>
          <w:rFonts w:ascii="Times New Roman" w:hAnsi="Times New Roman" w:cs="Times New Roman"/>
          <w:sz w:val="24"/>
          <w:szCs w:val="24"/>
          <w:lang w:val="en-US"/>
        </w:rPr>
        <w:t xml:space="preserve">  </w:t>
      </w:r>
    </w:p>
    <w:p w14:paraId="379FFBD3" w14:textId="77777777" w:rsidR="00971D97" w:rsidRPr="00EA3036" w:rsidRDefault="00971D97" w:rsidP="00971D97">
      <w:pPr>
        <w:spacing w:line="360" w:lineRule="auto"/>
        <w:jc w:val="both"/>
        <w:rPr>
          <w:rFonts w:ascii="Times New Roman" w:hAnsi="Times New Roman" w:cs="Times New Roman"/>
          <w:sz w:val="24"/>
          <w:szCs w:val="24"/>
          <w:lang w:val="en-US"/>
        </w:rPr>
      </w:pPr>
    </w:p>
    <w:p w14:paraId="654DC96E" w14:textId="3B5C995A" w:rsidR="00971D97" w:rsidRDefault="00971D97" w:rsidP="00971D97">
      <w:pPr>
        <w:spacing w:line="360" w:lineRule="auto"/>
        <w:jc w:val="both"/>
        <w:rPr>
          <w:rFonts w:ascii="Times New Roman" w:hAnsi="Times New Roman" w:cs="Times New Roman"/>
          <w:sz w:val="24"/>
          <w:szCs w:val="24"/>
          <w:lang w:val="en-US"/>
        </w:rPr>
      </w:pPr>
      <w:r w:rsidRPr="00EA3036">
        <w:rPr>
          <w:rFonts w:ascii="Times New Roman" w:hAnsi="Times New Roman" w:cs="Times New Roman"/>
          <w:b/>
          <w:bCs/>
          <w:sz w:val="24"/>
          <w:szCs w:val="24"/>
          <w:lang w:val="en-US"/>
        </w:rPr>
        <w:t>CHIKOWERO J</w:t>
      </w:r>
      <w:r w:rsidR="00EA3036">
        <w:rPr>
          <w:rFonts w:ascii="Times New Roman" w:hAnsi="Times New Roman" w:cs="Times New Roman"/>
          <w:b/>
          <w:bCs/>
          <w:sz w:val="24"/>
          <w:szCs w:val="24"/>
          <w:lang w:val="en-US"/>
        </w:rPr>
        <w:t>:</w:t>
      </w:r>
      <w:r w:rsidRPr="00EA3036">
        <w:rPr>
          <w:rFonts w:ascii="Times New Roman" w:hAnsi="Times New Roman" w:cs="Times New Roman"/>
          <w:sz w:val="24"/>
          <w:szCs w:val="24"/>
          <w:lang w:val="en-US"/>
        </w:rPr>
        <w:t xml:space="preserve"> agrees . . . . . . . . . . . . .</w:t>
      </w:r>
    </w:p>
    <w:p w14:paraId="2507E804" w14:textId="77777777" w:rsidR="00EA3036" w:rsidRPr="00EA3036" w:rsidRDefault="00EA3036" w:rsidP="00971D97">
      <w:pPr>
        <w:spacing w:line="360" w:lineRule="auto"/>
        <w:jc w:val="both"/>
        <w:rPr>
          <w:rFonts w:ascii="Times New Roman" w:hAnsi="Times New Roman" w:cs="Times New Roman"/>
          <w:sz w:val="24"/>
          <w:szCs w:val="24"/>
          <w:lang w:val="en-US"/>
        </w:rPr>
      </w:pPr>
    </w:p>
    <w:p w14:paraId="353485CA" w14:textId="6A73D880" w:rsidR="008A55C5" w:rsidRDefault="00971D97" w:rsidP="00971D97">
      <w:pPr>
        <w:spacing w:line="360" w:lineRule="auto"/>
        <w:jc w:val="both"/>
        <w:rPr>
          <w:rFonts w:ascii="Times New Roman" w:hAnsi="Times New Roman" w:cs="Times New Roman"/>
          <w:sz w:val="24"/>
          <w:szCs w:val="24"/>
          <w:lang w:val="en-US"/>
        </w:rPr>
      </w:pPr>
      <w:r w:rsidRPr="00EA3036">
        <w:rPr>
          <w:rFonts w:ascii="Times New Roman" w:hAnsi="Times New Roman" w:cs="Times New Roman"/>
          <w:b/>
          <w:bCs/>
          <w:sz w:val="24"/>
          <w:szCs w:val="24"/>
          <w:lang w:val="en-US"/>
        </w:rPr>
        <w:t>ZHOU J</w:t>
      </w:r>
      <w:r w:rsidR="00EA3036">
        <w:rPr>
          <w:rFonts w:ascii="Times New Roman" w:hAnsi="Times New Roman" w:cs="Times New Roman"/>
          <w:sz w:val="24"/>
          <w:szCs w:val="24"/>
          <w:lang w:val="en-US"/>
        </w:rPr>
        <w:t>:</w:t>
      </w:r>
      <w:r w:rsidR="002446DC" w:rsidRPr="00EA3036">
        <w:rPr>
          <w:rFonts w:ascii="Times New Roman" w:hAnsi="Times New Roman" w:cs="Times New Roman"/>
          <w:sz w:val="24"/>
          <w:szCs w:val="24"/>
          <w:lang w:val="en-US"/>
        </w:rPr>
        <w:t xml:space="preserve"> . . . . . . . . . . . . . . . .</w:t>
      </w:r>
    </w:p>
    <w:p w14:paraId="7E169035" w14:textId="77777777" w:rsidR="00EA3036" w:rsidRPr="00EA3036" w:rsidRDefault="00EA3036" w:rsidP="00971D97">
      <w:pPr>
        <w:spacing w:line="360" w:lineRule="auto"/>
        <w:jc w:val="both"/>
        <w:rPr>
          <w:rFonts w:ascii="Times New Roman" w:hAnsi="Times New Roman" w:cs="Times New Roman"/>
          <w:sz w:val="24"/>
          <w:szCs w:val="24"/>
          <w:lang w:val="en-US"/>
        </w:rPr>
      </w:pPr>
    </w:p>
    <w:p w14:paraId="26B8594F" w14:textId="77777777" w:rsidR="00EA3036" w:rsidRDefault="00C34970" w:rsidP="00EA3036">
      <w:pPr>
        <w:spacing w:after="0" w:line="240" w:lineRule="auto"/>
        <w:jc w:val="both"/>
        <w:rPr>
          <w:rFonts w:ascii="Times New Roman" w:hAnsi="Times New Roman" w:cs="Times New Roman"/>
          <w:sz w:val="24"/>
          <w:szCs w:val="24"/>
          <w:lang w:val="en-US"/>
        </w:rPr>
      </w:pPr>
      <w:r w:rsidRPr="00EA3036">
        <w:rPr>
          <w:rFonts w:ascii="Times New Roman" w:hAnsi="Times New Roman" w:cs="Times New Roman"/>
          <w:i/>
          <w:sz w:val="24"/>
          <w:szCs w:val="24"/>
          <w:lang w:val="en-US"/>
        </w:rPr>
        <w:t xml:space="preserve">Madzima &amp; Company Law Chambers, </w:t>
      </w:r>
      <w:r w:rsidR="008A55C5" w:rsidRPr="00EA3036">
        <w:rPr>
          <w:rFonts w:ascii="Times New Roman" w:hAnsi="Times New Roman" w:cs="Times New Roman"/>
          <w:sz w:val="24"/>
          <w:szCs w:val="24"/>
          <w:lang w:val="en-US"/>
        </w:rPr>
        <w:t>appellant’s legal practitioners</w:t>
      </w:r>
    </w:p>
    <w:p w14:paraId="20DDD420" w14:textId="110C7A31" w:rsidR="00BA3618" w:rsidRPr="00EA3036" w:rsidRDefault="008A55C5" w:rsidP="00EA3036">
      <w:pPr>
        <w:spacing w:after="0" w:line="240" w:lineRule="auto"/>
        <w:jc w:val="both"/>
        <w:rPr>
          <w:rFonts w:ascii="Times New Roman" w:hAnsi="Times New Roman" w:cs="Times New Roman"/>
          <w:sz w:val="24"/>
          <w:szCs w:val="24"/>
          <w:lang w:val="en-US"/>
        </w:rPr>
      </w:pPr>
      <w:r w:rsidRPr="00EA3036">
        <w:rPr>
          <w:rFonts w:ascii="Times New Roman" w:hAnsi="Times New Roman" w:cs="Times New Roman"/>
          <w:i/>
          <w:sz w:val="24"/>
          <w:szCs w:val="24"/>
          <w:lang w:val="en-US"/>
        </w:rPr>
        <w:t>National Prosecution Authority</w:t>
      </w:r>
      <w:r w:rsidRPr="00EA3036">
        <w:rPr>
          <w:rFonts w:ascii="Times New Roman" w:hAnsi="Times New Roman" w:cs="Times New Roman"/>
          <w:sz w:val="24"/>
          <w:szCs w:val="24"/>
          <w:lang w:val="en-US"/>
        </w:rPr>
        <w:t>, respondent’s legal practitioners</w:t>
      </w:r>
      <w:r w:rsidR="00C25DAD" w:rsidRPr="00EA3036">
        <w:rPr>
          <w:rFonts w:ascii="Times New Roman" w:hAnsi="Times New Roman" w:cs="Times New Roman"/>
          <w:sz w:val="24"/>
          <w:szCs w:val="24"/>
          <w:lang w:val="en-US"/>
        </w:rPr>
        <w:t xml:space="preserve"> </w:t>
      </w:r>
      <w:r w:rsidR="00CE03AD" w:rsidRPr="00EA3036">
        <w:rPr>
          <w:rFonts w:ascii="Times New Roman" w:hAnsi="Times New Roman" w:cs="Times New Roman"/>
          <w:sz w:val="24"/>
          <w:szCs w:val="24"/>
          <w:lang w:val="en-US"/>
        </w:rPr>
        <w:t xml:space="preserve"> </w:t>
      </w:r>
      <w:r w:rsidR="00A07EB6" w:rsidRPr="00EA3036">
        <w:rPr>
          <w:rFonts w:ascii="Times New Roman" w:hAnsi="Times New Roman" w:cs="Times New Roman"/>
          <w:sz w:val="24"/>
          <w:szCs w:val="24"/>
          <w:lang w:val="en-US"/>
        </w:rPr>
        <w:t xml:space="preserve">  </w:t>
      </w:r>
      <w:r w:rsidR="00116393" w:rsidRPr="00EA3036">
        <w:rPr>
          <w:rFonts w:ascii="Times New Roman" w:hAnsi="Times New Roman" w:cs="Times New Roman"/>
          <w:sz w:val="24"/>
          <w:szCs w:val="24"/>
          <w:lang w:val="en-US"/>
        </w:rPr>
        <w:t xml:space="preserve"> </w:t>
      </w:r>
      <w:r w:rsidR="00C434EE" w:rsidRPr="00EA3036">
        <w:rPr>
          <w:rFonts w:ascii="Times New Roman" w:hAnsi="Times New Roman" w:cs="Times New Roman"/>
          <w:sz w:val="24"/>
          <w:szCs w:val="24"/>
          <w:lang w:val="en-US"/>
        </w:rPr>
        <w:t xml:space="preserve">  </w:t>
      </w:r>
      <w:r w:rsidR="008A5A14" w:rsidRPr="00EA3036">
        <w:rPr>
          <w:rFonts w:ascii="Times New Roman" w:hAnsi="Times New Roman" w:cs="Times New Roman"/>
          <w:sz w:val="24"/>
          <w:szCs w:val="24"/>
          <w:lang w:val="en-US"/>
        </w:rPr>
        <w:t xml:space="preserve"> </w:t>
      </w:r>
      <w:r w:rsidR="002905F8" w:rsidRPr="00EA3036">
        <w:rPr>
          <w:rFonts w:ascii="Times New Roman" w:hAnsi="Times New Roman" w:cs="Times New Roman"/>
          <w:sz w:val="24"/>
          <w:szCs w:val="24"/>
          <w:lang w:val="en-US"/>
        </w:rPr>
        <w:t xml:space="preserve"> </w:t>
      </w:r>
      <w:r w:rsidR="00BA3618" w:rsidRPr="00EA3036">
        <w:rPr>
          <w:rFonts w:ascii="Times New Roman" w:hAnsi="Times New Roman" w:cs="Times New Roman"/>
          <w:sz w:val="24"/>
          <w:szCs w:val="24"/>
          <w:lang w:val="en-US"/>
        </w:rPr>
        <w:t xml:space="preserve"> </w:t>
      </w:r>
    </w:p>
    <w:sectPr w:rsidR="00BA3618" w:rsidRPr="00EA303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2A200" w14:textId="77777777" w:rsidR="005C620B" w:rsidRDefault="005C620B" w:rsidP="00A074DE">
      <w:pPr>
        <w:spacing w:after="0" w:line="240" w:lineRule="auto"/>
      </w:pPr>
      <w:r>
        <w:separator/>
      </w:r>
    </w:p>
  </w:endnote>
  <w:endnote w:type="continuationSeparator" w:id="0">
    <w:p w14:paraId="064E0DAD" w14:textId="77777777" w:rsidR="005C620B" w:rsidRDefault="005C620B" w:rsidP="00A0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A2962" w14:textId="77777777" w:rsidR="005C620B" w:rsidRDefault="005C620B" w:rsidP="00A074DE">
      <w:pPr>
        <w:spacing w:after="0" w:line="240" w:lineRule="auto"/>
      </w:pPr>
      <w:r>
        <w:separator/>
      </w:r>
    </w:p>
  </w:footnote>
  <w:footnote w:type="continuationSeparator" w:id="0">
    <w:p w14:paraId="2A6D65CD" w14:textId="77777777" w:rsidR="005C620B" w:rsidRDefault="005C620B" w:rsidP="00A07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4766"/>
      <w:docPartObj>
        <w:docPartGallery w:val="Page Numbers (Top of Page)"/>
        <w:docPartUnique/>
      </w:docPartObj>
    </w:sdtPr>
    <w:sdtEndPr>
      <w:rPr>
        <w:noProof/>
      </w:rPr>
    </w:sdtEndPr>
    <w:sdtContent>
      <w:p w14:paraId="6D068534" w14:textId="7E1F92D7" w:rsidR="00EA3036" w:rsidRDefault="00971D97">
        <w:pPr>
          <w:pStyle w:val="Header"/>
          <w:jc w:val="right"/>
          <w:rPr>
            <w:noProof/>
          </w:rPr>
        </w:pPr>
        <w:r>
          <w:fldChar w:fldCharType="begin"/>
        </w:r>
        <w:r>
          <w:instrText xml:space="preserve"> PAGE   \* MERGEFORMAT </w:instrText>
        </w:r>
        <w:r>
          <w:fldChar w:fldCharType="separate"/>
        </w:r>
        <w:r w:rsidR="00C535F1">
          <w:rPr>
            <w:noProof/>
          </w:rPr>
          <w:t>1</w:t>
        </w:r>
        <w:r>
          <w:rPr>
            <w:noProof/>
          </w:rPr>
          <w:fldChar w:fldCharType="end"/>
        </w:r>
      </w:p>
      <w:p w14:paraId="4DD3BF51" w14:textId="51EA178C" w:rsidR="00EA3036" w:rsidRDefault="00EA3036">
        <w:pPr>
          <w:pStyle w:val="Header"/>
          <w:jc w:val="right"/>
          <w:rPr>
            <w:noProof/>
          </w:rPr>
        </w:pPr>
        <w:r>
          <w:rPr>
            <w:noProof/>
          </w:rPr>
          <w:t>HH</w:t>
        </w:r>
        <w:r w:rsidR="003658F9">
          <w:rPr>
            <w:noProof/>
          </w:rPr>
          <w:t xml:space="preserve"> 589-24</w:t>
        </w:r>
      </w:p>
      <w:p w14:paraId="198ED19A" w14:textId="7EC4C281" w:rsidR="00971D97" w:rsidRDefault="00EA3036">
        <w:pPr>
          <w:pStyle w:val="Header"/>
          <w:jc w:val="right"/>
        </w:pPr>
        <w:r>
          <w:rPr>
            <w:noProof/>
          </w:rPr>
          <w:t>HCHCR 4479/24</w:t>
        </w:r>
      </w:p>
    </w:sdtContent>
  </w:sdt>
  <w:p w14:paraId="0DC1704F" w14:textId="77777777" w:rsidR="00971D97" w:rsidRDefault="00971D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C22EA5"/>
    <w:multiLevelType w:val="hybridMultilevel"/>
    <w:tmpl w:val="DE46AA9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618"/>
    <w:rsid w:val="000522E5"/>
    <w:rsid w:val="000D4A6D"/>
    <w:rsid w:val="001126FD"/>
    <w:rsid w:val="00116393"/>
    <w:rsid w:val="00146CB4"/>
    <w:rsid w:val="00172B94"/>
    <w:rsid w:val="002446DC"/>
    <w:rsid w:val="00246BBD"/>
    <w:rsid w:val="00250B77"/>
    <w:rsid w:val="002905F8"/>
    <w:rsid w:val="00291A58"/>
    <w:rsid w:val="002E4722"/>
    <w:rsid w:val="00307E69"/>
    <w:rsid w:val="003658F9"/>
    <w:rsid w:val="003D1719"/>
    <w:rsid w:val="003F5773"/>
    <w:rsid w:val="00401868"/>
    <w:rsid w:val="00403F81"/>
    <w:rsid w:val="00464546"/>
    <w:rsid w:val="00481F93"/>
    <w:rsid w:val="004E4549"/>
    <w:rsid w:val="004F057A"/>
    <w:rsid w:val="00527E73"/>
    <w:rsid w:val="0059268A"/>
    <w:rsid w:val="005C620B"/>
    <w:rsid w:val="005F65DB"/>
    <w:rsid w:val="00677BB0"/>
    <w:rsid w:val="006A1BA8"/>
    <w:rsid w:val="007508DB"/>
    <w:rsid w:val="007764C6"/>
    <w:rsid w:val="0078073B"/>
    <w:rsid w:val="007A4076"/>
    <w:rsid w:val="007B2C71"/>
    <w:rsid w:val="008A55C5"/>
    <w:rsid w:val="008A5A14"/>
    <w:rsid w:val="008D4A71"/>
    <w:rsid w:val="008E2CD8"/>
    <w:rsid w:val="00971D97"/>
    <w:rsid w:val="009744CB"/>
    <w:rsid w:val="009A6B5F"/>
    <w:rsid w:val="009B5ADF"/>
    <w:rsid w:val="009D4C3B"/>
    <w:rsid w:val="00A074DE"/>
    <w:rsid w:val="00A07EB6"/>
    <w:rsid w:val="00A20667"/>
    <w:rsid w:val="00A43028"/>
    <w:rsid w:val="00A962DD"/>
    <w:rsid w:val="00AE0563"/>
    <w:rsid w:val="00BA3618"/>
    <w:rsid w:val="00BE541F"/>
    <w:rsid w:val="00C163D9"/>
    <w:rsid w:val="00C25DAD"/>
    <w:rsid w:val="00C34970"/>
    <w:rsid w:val="00C35CCC"/>
    <w:rsid w:val="00C434EE"/>
    <w:rsid w:val="00C535F1"/>
    <w:rsid w:val="00CE03AD"/>
    <w:rsid w:val="00D17374"/>
    <w:rsid w:val="00D62191"/>
    <w:rsid w:val="00D7181B"/>
    <w:rsid w:val="00DB4E57"/>
    <w:rsid w:val="00DC0B89"/>
    <w:rsid w:val="00E3556F"/>
    <w:rsid w:val="00E80A52"/>
    <w:rsid w:val="00EA3036"/>
    <w:rsid w:val="00EB29E7"/>
    <w:rsid w:val="00EC14A9"/>
    <w:rsid w:val="00F14DAC"/>
    <w:rsid w:val="00F768CA"/>
    <w:rsid w:val="00FF032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B955"/>
  <w15:chartTrackingRefBased/>
  <w15:docId w15:val="{F6792830-24F0-4438-A122-9C366B9E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4DE"/>
  </w:style>
  <w:style w:type="paragraph" w:styleId="Footer">
    <w:name w:val="footer"/>
    <w:basedOn w:val="Normal"/>
    <w:link w:val="FooterChar"/>
    <w:uiPriority w:val="99"/>
    <w:unhideWhenUsed/>
    <w:rsid w:val="00A0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4DE"/>
  </w:style>
  <w:style w:type="paragraph" w:styleId="ListParagraph">
    <w:name w:val="List Paragraph"/>
    <w:basedOn w:val="Normal"/>
    <w:uiPriority w:val="34"/>
    <w:qFormat/>
    <w:rsid w:val="00146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dcterms:created xsi:type="dcterms:W3CDTF">2024-12-13T09:07:00Z</dcterms:created>
  <dcterms:modified xsi:type="dcterms:W3CDTF">2024-12-13T09:07:00Z</dcterms:modified>
</cp:coreProperties>
</file>