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1" w:type="dxa"/>
        <w:tblBorders>
          <w:bottom w:val="single" w:sz="6" w:space="0" w:color="auto"/>
        </w:tblBorders>
        <w:tblLayout w:type="fixed"/>
        <w:tblLook w:val="0000" w:firstRow="0" w:lastRow="0" w:firstColumn="0" w:lastColumn="0" w:noHBand="0" w:noVBand="0"/>
      </w:tblPr>
      <w:tblGrid>
        <w:gridCol w:w="3896"/>
        <w:gridCol w:w="1491"/>
        <w:gridCol w:w="4394"/>
      </w:tblGrid>
      <w:tr w:rsidR="005A4D7A" w:rsidRPr="00E9212C" w14:paraId="67A550C6" w14:textId="77777777" w:rsidTr="009C18C8">
        <w:trPr>
          <w:trHeight w:val="70"/>
        </w:trPr>
        <w:tc>
          <w:tcPr>
            <w:tcW w:w="3896" w:type="dxa"/>
            <w:tcBorders>
              <w:bottom w:val="nil"/>
            </w:tcBorders>
          </w:tcPr>
          <w:p w14:paraId="417C2FA4" w14:textId="77777777" w:rsidR="005A4D7A" w:rsidRPr="00E9212C" w:rsidRDefault="005A4D7A" w:rsidP="009A35C7">
            <w:pPr>
              <w:tabs>
                <w:tab w:val="left" w:pos="1134"/>
                <w:tab w:val="left" w:pos="1276"/>
                <w:tab w:val="left" w:pos="1560"/>
                <w:tab w:val="center" w:pos="4395"/>
                <w:tab w:val="right" w:pos="8505"/>
              </w:tabs>
              <w:spacing w:line="360" w:lineRule="auto"/>
              <w:jc w:val="both"/>
              <w:rPr>
                <w:b/>
              </w:rPr>
            </w:pPr>
            <w:bookmarkStart w:id="0" w:name="_GoBack"/>
            <w:bookmarkEnd w:id="0"/>
          </w:p>
        </w:tc>
        <w:tc>
          <w:tcPr>
            <w:tcW w:w="1491" w:type="dxa"/>
            <w:tcBorders>
              <w:bottom w:val="nil"/>
            </w:tcBorders>
          </w:tcPr>
          <w:p w14:paraId="543C7BB2" w14:textId="77777777" w:rsidR="005A4D7A" w:rsidRPr="00E9212C" w:rsidRDefault="005A4D7A" w:rsidP="009A35C7">
            <w:pPr>
              <w:tabs>
                <w:tab w:val="center" w:pos="4395"/>
                <w:tab w:val="right" w:pos="8505"/>
              </w:tabs>
              <w:spacing w:line="360" w:lineRule="auto"/>
              <w:jc w:val="both"/>
              <w:rPr>
                <w:sz w:val="19"/>
              </w:rPr>
            </w:pPr>
          </w:p>
        </w:tc>
        <w:tc>
          <w:tcPr>
            <w:tcW w:w="4394" w:type="dxa"/>
            <w:tcBorders>
              <w:bottom w:val="nil"/>
            </w:tcBorders>
          </w:tcPr>
          <w:p w14:paraId="2F6242B1" w14:textId="77777777" w:rsidR="005A4D7A" w:rsidRPr="00E9212C" w:rsidRDefault="005A4D7A" w:rsidP="009A35C7">
            <w:pPr>
              <w:tabs>
                <w:tab w:val="center" w:pos="4395"/>
                <w:tab w:val="right" w:pos="8505"/>
              </w:tabs>
              <w:spacing w:line="360" w:lineRule="auto"/>
              <w:jc w:val="both"/>
              <w:rPr>
                <w:b/>
                <w:sz w:val="19"/>
              </w:rPr>
            </w:pPr>
          </w:p>
        </w:tc>
      </w:tr>
    </w:tbl>
    <w:p w14:paraId="4C1898EA" w14:textId="357287FA" w:rsidR="002912A6" w:rsidRPr="00E9212C" w:rsidRDefault="00E9212C" w:rsidP="00804E6A">
      <w:pPr>
        <w:jc w:val="both"/>
      </w:pPr>
      <w:r>
        <w:t>THE SHERIFF OF ZIMBABWE</w:t>
      </w:r>
    </w:p>
    <w:p w14:paraId="66AF32CE" w14:textId="385084C4" w:rsidR="002912A6" w:rsidRPr="00E9212C" w:rsidRDefault="005F085B" w:rsidP="009A35C7">
      <w:pPr>
        <w:jc w:val="both"/>
      </w:pPr>
      <w:r>
        <w:t>v</w:t>
      </w:r>
      <w:r w:rsidR="00CD12E4" w:rsidRPr="00E9212C">
        <w:t>ersus</w:t>
      </w:r>
    </w:p>
    <w:p w14:paraId="6A3CF4F5" w14:textId="77777777" w:rsidR="00DC67DE" w:rsidRPr="00E9212C" w:rsidRDefault="00DC67DE" w:rsidP="009A35C7">
      <w:pPr>
        <w:jc w:val="both"/>
        <w:rPr>
          <w:sz w:val="6"/>
          <w:szCs w:val="6"/>
        </w:rPr>
      </w:pPr>
    </w:p>
    <w:p w14:paraId="3F8E38F7" w14:textId="6E5DFF23" w:rsidR="002912A6" w:rsidRPr="00E9212C" w:rsidRDefault="00E9212C" w:rsidP="009A35C7">
      <w:pPr>
        <w:jc w:val="both"/>
      </w:pPr>
      <w:r>
        <w:t>FRANCIS MASAWI</w:t>
      </w:r>
    </w:p>
    <w:p w14:paraId="4E2C2D07" w14:textId="17166D6B" w:rsidR="00056938" w:rsidRPr="00E9212C" w:rsidRDefault="005F085B" w:rsidP="009A35C7">
      <w:pPr>
        <w:jc w:val="both"/>
      </w:pPr>
      <w:r>
        <w:t>a</w:t>
      </w:r>
      <w:r w:rsidR="00056938" w:rsidRPr="00E9212C">
        <w:t>nd</w:t>
      </w:r>
    </w:p>
    <w:p w14:paraId="0FC84275" w14:textId="7C389D2A" w:rsidR="00056938" w:rsidRPr="00E9212C" w:rsidRDefault="00E9212C" w:rsidP="009A35C7">
      <w:pPr>
        <w:jc w:val="both"/>
      </w:pPr>
      <w:r>
        <w:t>SHALETH MASAWI</w:t>
      </w:r>
    </w:p>
    <w:p w14:paraId="10AA3EF9" w14:textId="5767392F" w:rsidR="00056938" w:rsidRPr="00E9212C" w:rsidRDefault="005F085B" w:rsidP="009A35C7">
      <w:pPr>
        <w:jc w:val="both"/>
      </w:pPr>
      <w:r>
        <w:t>a</w:t>
      </w:r>
      <w:r w:rsidR="00056938" w:rsidRPr="00E9212C">
        <w:t>nd</w:t>
      </w:r>
    </w:p>
    <w:p w14:paraId="6E3EA055" w14:textId="11670651" w:rsidR="00056938" w:rsidRPr="00E9212C" w:rsidRDefault="00E9212C" w:rsidP="009A35C7">
      <w:pPr>
        <w:jc w:val="both"/>
      </w:pPr>
      <w:r>
        <w:t xml:space="preserve">SHEISAM CONSULTING (PVT) LTD </w:t>
      </w:r>
    </w:p>
    <w:p w14:paraId="7399E0D3" w14:textId="77777777" w:rsidR="00804E6A" w:rsidRPr="00E9212C" w:rsidRDefault="00804E6A" w:rsidP="009A35C7">
      <w:pPr>
        <w:jc w:val="both"/>
        <w:rPr>
          <w:sz w:val="8"/>
          <w:szCs w:val="8"/>
        </w:rPr>
      </w:pPr>
    </w:p>
    <w:p w14:paraId="7152F9E8" w14:textId="77777777" w:rsidR="00405423" w:rsidRDefault="00405423" w:rsidP="00405423">
      <w:pPr>
        <w:jc w:val="both"/>
      </w:pPr>
    </w:p>
    <w:p w14:paraId="02A1E820" w14:textId="77777777" w:rsidR="000F74CC" w:rsidRPr="00E9212C" w:rsidRDefault="000F74CC" w:rsidP="00405423">
      <w:pPr>
        <w:jc w:val="both"/>
      </w:pPr>
    </w:p>
    <w:p w14:paraId="1466E8FD" w14:textId="77777777" w:rsidR="005A4D7A" w:rsidRPr="00E9212C" w:rsidRDefault="005A4D7A" w:rsidP="009A35C7">
      <w:pPr>
        <w:jc w:val="both"/>
      </w:pPr>
      <w:r w:rsidRPr="00E9212C">
        <w:t>HIGH COURT OF ZIMBABWE</w:t>
      </w:r>
    </w:p>
    <w:p w14:paraId="4B04EA42" w14:textId="1ACE6041" w:rsidR="005A4D7A" w:rsidRDefault="00A831D8" w:rsidP="009A35C7">
      <w:pPr>
        <w:jc w:val="both"/>
      </w:pPr>
      <w:r w:rsidRPr="00E9212C">
        <w:t>CHINAMORA</w:t>
      </w:r>
      <w:r w:rsidR="005A4D7A" w:rsidRPr="00E9212C">
        <w:t xml:space="preserve"> J</w:t>
      </w:r>
    </w:p>
    <w:p w14:paraId="7A4F4EB0" w14:textId="5A963F19" w:rsidR="005F085B" w:rsidRPr="00E9212C" w:rsidRDefault="005F085B" w:rsidP="009A35C7">
      <w:pPr>
        <w:jc w:val="both"/>
      </w:pPr>
      <w:r>
        <w:t xml:space="preserve">HARARE, </w:t>
      </w:r>
      <w:r w:rsidR="00525118">
        <w:t>14</w:t>
      </w:r>
      <w:r>
        <w:t xml:space="preserve"> </w:t>
      </w:r>
      <w:r w:rsidR="006A6E0A">
        <w:t>May</w:t>
      </w:r>
      <w:r>
        <w:t xml:space="preserve"> 2024</w:t>
      </w:r>
    </w:p>
    <w:p w14:paraId="604BF4CF" w14:textId="77777777" w:rsidR="00341A34" w:rsidRDefault="00341A34" w:rsidP="009A35C7">
      <w:pPr>
        <w:spacing w:line="360" w:lineRule="auto"/>
        <w:jc w:val="both"/>
        <w:rPr>
          <w:b/>
        </w:rPr>
      </w:pPr>
    </w:p>
    <w:p w14:paraId="6DC4A17F" w14:textId="5C1F8F92" w:rsidR="005A4D7A" w:rsidRPr="00E9212C" w:rsidRDefault="001E0606" w:rsidP="009A35C7">
      <w:pPr>
        <w:spacing w:line="360" w:lineRule="auto"/>
        <w:jc w:val="both"/>
        <w:rPr>
          <w:b/>
        </w:rPr>
      </w:pPr>
      <w:r>
        <w:rPr>
          <w:b/>
        </w:rPr>
        <w:t>Opposed A</w:t>
      </w:r>
      <w:r w:rsidR="00900FA8" w:rsidRPr="00E9212C">
        <w:rPr>
          <w:b/>
        </w:rPr>
        <w:t>pplication</w:t>
      </w:r>
    </w:p>
    <w:p w14:paraId="2B746BB7" w14:textId="77777777" w:rsidR="005A4D7A" w:rsidRPr="00E9212C" w:rsidRDefault="005A4D7A" w:rsidP="009A35C7">
      <w:pPr>
        <w:spacing w:line="360" w:lineRule="auto"/>
        <w:jc w:val="both"/>
      </w:pPr>
    </w:p>
    <w:p w14:paraId="2C551895" w14:textId="1BFED161" w:rsidR="00C835A5" w:rsidRPr="00E9212C" w:rsidRDefault="0031420B" w:rsidP="00C835A5">
      <w:pPr>
        <w:jc w:val="both"/>
      </w:pPr>
      <w:r>
        <w:rPr>
          <w:i/>
        </w:rPr>
        <w:t>Mr A E Ingwani</w:t>
      </w:r>
      <w:r w:rsidR="00A15ED3">
        <w:rPr>
          <w:i/>
        </w:rPr>
        <w:t xml:space="preserve">, </w:t>
      </w:r>
      <w:r w:rsidR="00A15ED3">
        <w:t>f</w:t>
      </w:r>
      <w:r w:rsidR="00FD00F3" w:rsidRPr="00E9212C">
        <w:t xml:space="preserve">or the </w:t>
      </w:r>
      <w:r w:rsidR="00CE42F4" w:rsidRPr="00E9212C">
        <w:t>applicant</w:t>
      </w:r>
    </w:p>
    <w:p w14:paraId="579CE272" w14:textId="791B4C47" w:rsidR="004D0E53" w:rsidRDefault="003A1376" w:rsidP="00C835A5">
      <w:pPr>
        <w:jc w:val="both"/>
      </w:pPr>
      <w:r>
        <w:rPr>
          <w:i/>
        </w:rPr>
        <w:t xml:space="preserve">Adv J B Wood, </w:t>
      </w:r>
      <w:r w:rsidR="00CD12E4" w:rsidRPr="00E9212C">
        <w:t xml:space="preserve">for the </w:t>
      </w:r>
      <w:r w:rsidR="0031420B">
        <w:t>claimants</w:t>
      </w:r>
    </w:p>
    <w:p w14:paraId="598A8FF0" w14:textId="18782922" w:rsidR="0031420B" w:rsidRDefault="00334CD6" w:rsidP="00C835A5">
      <w:pPr>
        <w:jc w:val="both"/>
      </w:pPr>
      <w:r>
        <w:t>Mr T Nyamucherera, for the judgment creditor</w:t>
      </w:r>
    </w:p>
    <w:p w14:paraId="682C97E2" w14:textId="77777777" w:rsidR="0031420B" w:rsidRPr="00E9212C" w:rsidRDefault="0031420B" w:rsidP="00C835A5">
      <w:pPr>
        <w:jc w:val="both"/>
      </w:pPr>
    </w:p>
    <w:p w14:paraId="392F392D" w14:textId="77777777" w:rsidR="00341A34" w:rsidRDefault="00341A34" w:rsidP="00390209">
      <w:pPr>
        <w:spacing w:line="360" w:lineRule="auto"/>
        <w:ind w:firstLine="720"/>
        <w:jc w:val="both"/>
      </w:pPr>
    </w:p>
    <w:p w14:paraId="304CBFEA" w14:textId="6637A1FD" w:rsidR="00B83F70" w:rsidRPr="003A1376" w:rsidRDefault="004169FF" w:rsidP="00390209">
      <w:pPr>
        <w:spacing w:line="360" w:lineRule="auto"/>
        <w:ind w:firstLine="720"/>
        <w:jc w:val="both"/>
      </w:pPr>
      <w:r w:rsidRPr="003A1376">
        <w:t>CHINAMORA</w:t>
      </w:r>
      <w:r w:rsidR="005A4D7A" w:rsidRPr="003A1376">
        <w:t xml:space="preserve"> J: </w:t>
      </w:r>
    </w:p>
    <w:p w14:paraId="1360D68C" w14:textId="69857FB8" w:rsidR="00390209" w:rsidRPr="00390209" w:rsidRDefault="001E0606" w:rsidP="00390209">
      <w:pPr>
        <w:spacing w:line="360" w:lineRule="auto"/>
        <w:jc w:val="both"/>
        <w:rPr>
          <w:b/>
        </w:rPr>
      </w:pPr>
      <w:r>
        <w:rPr>
          <w:b/>
        </w:rPr>
        <w:tab/>
      </w:r>
      <w:r w:rsidR="00390209" w:rsidRPr="00390209">
        <w:rPr>
          <w:b/>
        </w:rPr>
        <w:t xml:space="preserve">Background </w:t>
      </w:r>
      <w:r>
        <w:rPr>
          <w:b/>
        </w:rPr>
        <w:t>F</w:t>
      </w:r>
      <w:r w:rsidR="00390209" w:rsidRPr="00390209">
        <w:rPr>
          <w:b/>
        </w:rPr>
        <w:t>acts</w:t>
      </w:r>
    </w:p>
    <w:p w14:paraId="186388BD" w14:textId="325C20BE" w:rsidR="00565EEB" w:rsidRDefault="00E9212C" w:rsidP="0095610F">
      <w:pPr>
        <w:spacing w:line="360" w:lineRule="auto"/>
        <w:ind w:firstLine="720"/>
        <w:jc w:val="both"/>
      </w:pPr>
      <w:r>
        <w:t>The applicant filed an interpleader notice in terms of</w:t>
      </w:r>
      <w:r w:rsidR="00565EEB">
        <w:t xml:space="preserve"> the provisions of Order 30A Rule 205A of the now repealed High Court Rules, 1971. Francis Masawi and Shaleth Masawi are </w:t>
      </w:r>
      <w:r w:rsidR="004C7D50">
        <w:t xml:space="preserve">the </w:t>
      </w:r>
      <w:r w:rsidR="00565EEB">
        <w:t>first and second claimants</w:t>
      </w:r>
      <w:r w:rsidR="004C7D50">
        <w:t>,</w:t>
      </w:r>
      <w:r w:rsidR="00565EEB">
        <w:t xml:space="preserve"> respectively. Sheisam Consulting (Pvt) Ltd is the judgment creditor who obtained a judgment in case number</w:t>
      </w:r>
      <w:r w:rsidR="00C92C93">
        <w:t xml:space="preserve"> HC 4977/16 against Energy and I</w:t>
      </w:r>
      <w:r w:rsidR="00565EEB">
        <w:t xml:space="preserve">nformation Logistics (Pvt) Ltd. </w:t>
      </w:r>
    </w:p>
    <w:p w14:paraId="43242580" w14:textId="09D98AE0" w:rsidR="00745335" w:rsidRDefault="00706847" w:rsidP="0095610F">
      <w:pPr>
        <w:spacing w:line="360" w:lineRule="auto"/>
        <w:ind w:firstLine="720"/>
        <w:jc w:val="both"/>
      </w:pPr>
      <w:r>
        <w:t>The court’s attention was brought to</w:t>
      </w:r>
      <w:r w:rsidR="00565EEB">
        <w:t xml:space="preserve"> two interlocutory applications of </w:t>
      </w:r>
      <w:r w:rsidR="00EB1E51" w:rsidRPr="00EB1E51">
        <w:rPr>
          <w:i/>
        </w:rPr>
        <w:t xml:space="preserve">Sheisam Consulting (Pvt) Ltd </w:t>
      </w:r>
      <w:r w:rsidR="00EB1E51" w:rsidRPr="001E0606">
        <w:t>v</w:t>
      </w:r>
      <w:r w:rsidR="00EB1E51" w:rsidRPr="00EB1E51">
        <w:rPr>
          <w:i/>
        </w:rPr>
        <w:t xml:space="preserve"> Francis Masawi &amp;</w:t>
      </w:r>
      <w:r w:rsidR="00565EEB" w:rsidRPr="00EB1E51">
        <w:rPr>
          <w:i/>
        </w:rPr>
        <w:t xml:space="preserve"> Ors </w:t>
      </w:r>
      <w:r w:rsidR="00EB1E51">
        <w:t xml:space="preserve">under HC 3965/21. </w:t>
      </w:r>
      <w:r w:rsidR="001E0606">
        <w:t xml:space="preserve"> </w:t>
      </w:r>
      <w:r w:rsidR="00EB1E51">
        <w:t xml:space="preserve">In those applications, </w:t>
      </w:r>
      <w:r w:rsidR="00565EEB">
        <w:t xml:space="preserve">the judgment creditor is seeking to be condoned for non-compliance with the </w:t>
      </w:r>
      <w:r w:rsidR="001E0606">
        <w:t>r</w:t>
      </w:r>
      <w:r w:rsidR="00565EEB">
        <w:t xml:space="preserve">ules relating to the filing of its notice of opposition. The other matter is </w:t>
      </w:r>
      <w:r w:rsidR="00565EEB" w:rsidRPr="001E0606">
        <w:rPr>
          <w:i/>
        </w:rPr>
        <w:t>F</w:t>
      </w:r>
      <w:r w:rsidR="00596C1F" w:rsidRPr="001E0606">
        <w:rPr>
          <w:i/>
        </w:rPr>
        <w:t>r</w:t>
      </w:r>
      <w:r w:rsidR="00596C1F">
        <w:rPr>
          <w:i/>
        </w:rPr>
        <w:t xml:space="preserve">ancis Masawi </w:t>
      </w:r>
      <w:r w:rsidR="001E0606">
        <w:rPr>
          <w:i/>
        </w:rPr>
        <w:t>&amp;</w:t>
      </w:r>
      <w:r w:rsidR="00596C1F">
        <w:rPr>
          <w:i/>
        </w:rPr>
        <w:t xml:space="preserve"> Anor </w:t>
      </w:r>
      <w:r w:rsidR="00596C1F" w:rsidRPr="001E0606">
        <w:t>v</w:t>
      </w:r>
      <w:r w:rsidR="00565EEB" w:rsidRPr="00596C1F">
        <w:rPr>
          <w:i/>
        </w:rPr>
        <w:t xml:space="preserve"> Sheisam </w:t>
      </w:r>
      <w:r w:rsidR="00596C1F">
        <w:rPr>
          <w:i/>
        </w:rPr>
        <w:t xml:space="preserve">Consulting (Pvt) Ltd </w:t>
      </w:r>
      <w:r w:rsidR="001E0606">
        <w:rPr>
          <w:i/>
        </w:rPr>
        <w:t>&amp;</w:t>
      </w:r>
      <w:r w:rsidR="00596C1F">
        <w:rPr>
          <w:i/>
        </w:rPr>
        <w:t xml:space="preserve"> Anor </w:t>
      </w:r>
      <w:r w:rsidR="00565EEB">
        <w:t>HC 757/22</w:t>
      </w:r>
      <w:r w:rsidR="00745335">
        <w:t xml:space="preserve"> in which the claimants seek to be condoned for their late filing of heads of argument </w:t>
      </w:r>
      <w:r w:rsidR="00745335">
        <w:lastRenderedPageBreak/>
        <w:t xml:space="preserve">in the main matter. The parties agreed that the two matter be determined at the same time </w:t>
      </w:r>
      <w:r w:rsidR="001E0606">
        <w:t>as HC </w:t>
      </w:r>
      <w:r w:rsidR="00C12098">
        <w:t xml:space="preserve">7601/21 </w:t>
      </w:r>
      <w:r w:rsidR="00745335">
        <w:t xml:space="preserve">since the interpleader proceedings before the court depends on their outcome. I shall deal with these latter on in the judgment. </w:t>
      </w:r>
    </w:p>
    <w:p w14:paraId="68EE9AA5" w14:textId="77777777" w:rsidR="00745335" w:rsidRDefault="00745335" w:rsidP="0095610F">
      <w:pPr>
        <w:spacing w:line="360" w:lineRule="auto"/>
        <w:ind w:firstLine="720"/>
        <w:jc w:val="both"/>
      </w:pPr>
      <w:r>
        <w:t>The genesis of the interpleader proceedings is a judgment of this court that the judgment creditor obtained in its favour under HC 4977/16. The operative part of the judgment reads as follows:</w:t>
      </w:r>
    </w:p>
    <w:p w14:paraId="6614B415" w14:textId="2B0567E5" w:rsidR="00745335" w:rsidRDefault="00745335" w:rsidP="002C2995">
      <w:pPr>
        <w:ind w:left="1440"/>
        <w:jc w:val="both"/>
        <w:rPr>
          <w:sz w:val="22"/>
          <w:szCs w:val="22"/>
        </w:rPr>
      </w:pPr>
      <w:r w:rsidRPr="00C12098">
        <w:rPr>
          <w:sz w:val="22"/>
          <w:szCs w:val="22"/>
        </w:rPr>
        <w:t>“In the premises it is hereby ordered that:</w:t>
      </w:r>
    </w:p>
    <w:p w14:paraId="096F7A29" w14:textId="77777777" w:rsidR="001E1FB9" w:rsidRPr="001E1FB9" w:rsidRDefault="001E1FB9" w:rsidP="002C2995">
      <w:pPr>
        <w:ind w:left="1440"/>
        <w:jc w:val="both"/>
        <w:rPr>
          <w:sz w:val="4"/>
          <w:szCs w:val="4"/>
        </w:rPr>
      </w:pPr>
    </w:p>
    <w:p w14:paraId="70048446" w14:textId="77777777" w:rsidR="00745335" w:rsidRPr="00C12098" w:rsidRDefault="00745335" w:rsidP="002C2995">
      <w:pPr>
        <w:pStyle w:val="ListParagraph"/>
        <w:numPr>
          <w:ilvl w:val="0"/>
          <w:numId w:val="33"/>
        </w:numPr>
        <w:ind w:left="2160"/>
        <w:jc w:val="both"/>
        <w:rPr>
          <w:sz w:val="22"/>
          <w:szCs w:val="22"/>
        </w:rPr>
      </w:pPr>
      <w:r w:rsidRPr="00C12098">
        <w:rPr>
          <w:sz w:val="22"/>
          <w:szCs w:val="22"/>
        </w:rPr>
        <w:t>The plaintiff’s claim is allowed.</w:t>
      </w:r>
    </w:p>
    <w:p w14:paraId="06CDE34F" w14:textId="77777777" w:rsidR="00745335" w:rsidRPr="00C12098" w:rsidRDefault="00745335" w:rsidP="002C2995">
      <w:pPr>
        <w:pStyle w:val="ListParagraph"/>
        <w:numPr>
          <w:ilvl w:val="0"/>
          <w:numId w:val="33"/>
        </w:numPr>
        <w:ind w:left="2160"/>
        <w:jc w:val="both"/>
        <w:rPr>
          <w:sz w:val="22"/>
          <w:szCs w:val="22"/>
        </w:rPr>
      </w:pPr>
      <w:r w:rsidRPr="00C12098">
        <w:rPr>
          <w:sz w:val="22"/>
          <w:szCs w:val="22"/>
        </w:rPr>
        <w:t>The defendant be and is hereby ordered to pay to the plaintiff 9 270 and interest thereon at the prescribed rate from invoice date to date of payment in full.</w:t>
      </w:r>
    </w:p>
    <w:p w14:paraId="135659DE" w14:textId="77777777" w:rsidR="00745335" w:rsidRPr="00C12098" w:rsidRDefault="00745335" w:rsidP="002C2995">
      <w:pPr>
        <w:pStyle w:val="ListParagraph"/>
        <w:numPr>
          <w:ilvl w:val="0"/>
          <w:numId w:val="33"/>
        </w:numPr>
        <w:ind w:left="2160"/>
        <w:jc w:val="both"/>
        <w:rPr>
          <w:sz w:val="22"/>
          <w:szCs w:val="22"/>
        </w:rPr>
      </w:pPr>
      <w:r w:rsidRPr="00C12098">
        <w:rPr>
          <w:sz w:val="22"/>
          <w:szCs w:val="22"/>
        </w:rPr>
        <w:t>The defendant shall pay the plaintiff’s costs of suit on the ordinary scale.”</w:t>
      </w:r>
    </w:p>
    <w:p w14:paraId="2504000E" w14:textId="77777777" w:rsidR="00745335" w:rsidRPr="00E240E4" w:rsidRDefault="00745335" w:rsidP="00745335">
      <w:pPr>
        <w:spacing w:line="360" w:lineRule="auto"/>
        <w:jc w:val="both"/>
        <w:rPr>
          <w:sz w:val="16"/>
          <w:szCs w:val="16"/>
        </w:rPr>
      </w:pPr>
    </w:p>
    <w:p w14:paraId="54EC2451" w14:textId="7E2820C4" w:rsidR="00BF2A19" w:rsidRDefault="00BF2A19" w:rsidP="0068137D">
      <w:pPr>
        <w:spacing w:line="360" w:lineRule="auto"/>
        <w:ind w:firstLine="720"/>
        <w:jc w:val="both"/>
      </w:pPr>
      <w:r>
        <w:t xml:space="preserve">Armed with the judgment, the judgment creditor caused to be issued a writ for execution of the claimants’ moveable property. The applicant acted on the basis of that writ, it proceeded to seize and attach the claimants’ moveable property. The </w:t>
      </w:r>
      <w:r w:rsidR="001E0606">
        <w:t xml:space="preserve">first </w:t>
      </w:r>
      <w:r>
        <w:t xml:space="preserve">claimant is claiming a motor vehicle namely Mercedes Benz C250 registration number AEX 5428. The </w:t>
      </w:r>
      <w:r w:rsidR="001E0606">
        <w:t>second</w:t>
      </w:r>
      <w:r>
        <w:t xml:space="preserve"> claimant is claiming a motor </w:t>
      </w:r>
      <w:r w:rsidR="0068137D">
        <w:t>vehicle namely a Mercedes Benz C200 registration number ABP 9353, a wood display dresser, 4-piece white sofas, a Defy upright fridge and display furniture.</w:t>
      </w:r>
      <w:r>
        <w:t xml:space="preserve"> </w:t>
      </w:r>
      <w:r w:rsidR="0068137D">
        <w:t xml:space="preserve">This is the property that is subject of the present proceedings. </w:t>
      </w:r>
    </w:p>
    <w:p w14:paraId="4F51A6EA" w14:textId="15D42D18" w:rsidR="0068137D" w:rsidRPr="00A43779" w:rsidRDefault="001E0606" w:rsidP="00A43779">
      <w:pPr>
        <w:spacing w:line="360" w:lineRule="auto"/>
        <w:jc w:val="both"/>
        <w:rPr>
          <w:b/>
          <w:bCs/>
        </w:rPr>
      </w:pPr>
      <w:r>
        <w:rPr>
          <w:b/>
          <w:bCs/>
        </w:rPr>
        <w:t>The Claimants’ C</w:t>
      </w:r>
      <w:r w:rsidR="00BF2A19" w:rsidRPr="00BF2A19">
        <w:rPr>
          <w:b/>
          <w:bCs/>
        </w:rPr>
        <w:t>ase</w:t>
      </w:r>
    </w:p>
    <w:p w14:paraId="3C404CB5" w14:textId="7F56B820" w:rsidR="00AB2355" w:rsidRDefault="0068137D" w:rsidP="0068137D">
      <w:pPr>
        <w:spacing w:line="360" w:lineRule="auto"/>
        <w:ind w:firstLine="720"/>
        <w:jc w:val="both"/>
      </w:pPr>
      <w:r>
        <w:t xml:space="preserve">The </w:t>
      </w:r>
      <w:r w:rsidR="001E0606">
        <w:t xml:space="preserve">first </w:t>
      </w:r>
      <w:r>
        <w:t xml:space="preserve">claimant herein averred that the Sheriff attached personal property belonging to him and his wife the </w:t>
      </w:r>
      <w:r w:rsidR="001E0606">
        <w:t>second</w:t>
      </w:r>
      <w:r>
        <w:t xml:space="preserve"> claimant. It is </w:t>
      </w:r>
      <w:r w:rsidR="001E0606">
        <w:t>first</w:t>
      </w:r>
      <w:r>
        <w:t xml:space="preserve"> claimant’s case that the Mercedes Benz C250 is his personal vehicle and the other Mercedes Benz C200 belongs to his wife. Furthermore, the wooden dresser and </w:t>
      </w:r>
      <w:r w:rsidR="00AB2355">
        <w:t>4-piece</w:t>
      </w:r>
      <w:r>
        <w:t xml:space="preserve"> white sofas belong to </w:t>
      </w:r>
      <w:r w:rsidR="003A1376">
        <w:t>second</w:t>
      </w:r>
      <w:r>
        <w:t xml:space="preserve"> claimant. The defy microwave </w:t>
      </w:r>
      <w:r w:rsidR="00AB2355">
        <w:t xml:space="preserve">belongs to one Mrs Ndebele the </w:t>
      </w:r>
      <w:r w:rsidR="003A1376">
        <w:t>second</w:t>
      </w:r>
      <w:r w:rsidR="00AB2355">
        <w:t xml:space="preserve"> claimant’s sister. The television set and two coffee tables also belong to the Mrs Ndebele. Lastly, the other display and defy upright fridge belongs to the claimants. In addition, the </w:t>
      </w:r>
      <w:r w:rsidR="003A1376">
        <w:t xml:space="preserve">first </w:t>
      </w:r>
      <w:r w:rsidR="00AB2355">
        <w:t xml:space="preserve">claimant states that although he is cited in the judgment under case number HC 4977/19 as the </w:t>
      </w:r>
      <w:r w:rsidR="003A1376">
        <w:t>first</w:t>
      </w:r>
      <w:r w:rsidR="00AB2355">
        <w:t xml:space="preserve"> plaintiff he is not a party to the proceedings since the judgment creditor withdrew its claim against him at the commencement of the trial. Therefore, the entire list </w:t>
      </w:r>
      <w:r w:rsidR="00AB2355">
        <w:lastRenderedPageBreak/>
        <w:t xml:space="preserve">of goods attached by the Sheriff are not attachable because the claimants are not parties to case under HC 4977/16. The </w:t>
      </w:r>
      <w:r w:rsidR="003A1376">
        <w:t>second</w:t>
      </w:r>
      <w:r w:rsidR="00AB2355">
        <w:t xml:space="preserve"> claimant filed an affidavit confirming the </w:t>
      </w:r>
      <w:r w:rsidR="003A1376">
        <w:t>first</w:t>
      </w:r>
      <w:r w:rsidR="00AB2355">
        <w:t xml:space="preserve"> claimant’s position. </w:t>
      </w:r>
    </w:p>
    <w:p w14:paraId="27B4619A" w14:textId="77777777" w:rsidR="00DC2F58" w:rsidRDefault="00DC2F58" w:rsidP="00DC2F58">
      <w:pPr>
        <w:spacing w:line="360" w:lineRule="auto"/>
        <w:jc w:val="both"/>
      </w:pPr>
    </w:p>
    <w:p w14:paraId="0E08EC9F" w14:textId="3DDB9CAF" w:rsidR="00DC2F58" w:rsidRPr="00852DB5" w:rsidRDefault="00DC2F58" w:rsidP="00DC2F58">
      <w:pPr>
        <w:spacing w:line="360" w:lineRule="auto"/>
        <w:jc w:val="both"/>
        <w:rPr>
          <w:b/>
          <w:bCs/>
        </w:rPr>
      </w:pPr>
      <w:r w:rsidRPr="00DC2F58">
        <w:rPr>
          <w:b/>
          <w:bCs/>
        </w:rPr>
        <w:t>The judgment creditor’s case and proceedings under HC 3965/21</w:t>
      </w:r>
      <w:r w:rsidR="006978AD">
        <w:rPr>
          <w:b/>
          <w:bCs/>
        </w:rPr>
        <w:t xml:space="preserve"> and HC 757/22</w:t>
      </w:r>
    </w:p>
    <w:p w14:paraId="43537025" w14:textId="65C1554E" w:rsidR="00C947DC" w:rsidRDefault="00DC2F58" w:rsidP="00DC2F58">
      <w:pPr>
        <w:spacing w:line="360" w:lineRule="auto"/>
        <w:jc w:val="both"/>
      </w:pPr>
      <w:r>
        <w:tab/>
        <w:t>The judgment creditor fell out of timelines within which to file its notice of opposition in the</w:t>
      </w:r>
      <w:r w:rsidR="00852DB5">
        <w:t xml:space="preserve"> main matter. It then filed </w:t>
      </w:r>
      <w:r>
        <w:t>a chamber application for uplif</w:t>
      </w:r>
      <w:r w:rsidR="003D7A35">
        <w:t>tment of bar and condonation within which to file a notice of opposition. In its founding affidavit under HC 3965/21, the judgment creditor attributed the delay in filing the notice of opposition to the Christmas breaks coupled with the effects of the lockdown on the cases. It is on this basis that the judgment creditor is of the view that the default was not wilful. In addressing the prospect of success, the judgment creditor noted that the properties in question were subject to almost five cases, the latest being under HC 2635/</w:t>
      </w:r>
      <w:r w:rsidR="00C947DC">
        <w:t xml:space="preserve">20. Furthermore, the judgment creditor averred that the claimants were the alter egos of </w:t>
      </w:r>
      <w:r w:rsidR="00290FCD">
        <w:t xml:space="preserve">Energy and Information Logistics (Pvt) Ltd and the veil ought to be pierced. </w:t>
      </w:r>
    </w:p>
    <w:p w14:paraId="6254023A" w14:textId="443F14DA" w:rsidR="00290FCD" w:rsidRDefault="00C947DC" w:rsidP="00DC2F58">
      <w:pPr>
        <w:spacing w:line="360" w:lineRule="auto"/>
        <w:jc w:val="both"/>
      </w:pPr>
      <w:r>
        <w:tab/>
        <w:t xml:space="preserve">The claimants opposed the application on the basis that the judgment creditor was not a registered entity and to that effect attached an affidavit by one Martha Chakanyuka confirming the same. However, the same person later on cancelled the same affidavit and advised that judgment creditor was a registered entity. Consequently, nothing turns on that point. </w:t>
      </w:r>
      <w:r w:rsidR="00290FCD">
        <w:t>Furthermore, the claimants aver that there is no basis for raising the issue of alter ego through the present application. It was argued by the claimants</w:t>
      </w:r>
      <w:r w:rsidR="00933812">
        <w:t xml:space="preserve"> that the legal practitioners for</w:t>
      </w:r>
      <w:r w:rsidR="00290FCD">
        <w:t xml:space="preserve"> the judgment creditor acted lackadaisically and failed to file their notice of opposition timeous. The claimants failed to file their heads of arguments timeously on account of having failed to raise the </w:t>
      </w:r>
      <w:r w:rsidR="00DE21C8">
        <w:t xml:space="preserve">required </w:t>
      </w:r>
      <w:r w:rsidR="00290FCD">
        <w:t>financial resources timeously. Consequently,</w:t>
      </w:r>
      <w:r w:rsidR="00DE21C8">
        <w:t xml:space="preserve"> they</w:t>
      </w:r>
      <w:r w:rsidR="00290FCD">
        <w:t xml:space="preserve"> filed a chamber application for leave to file heads of argument out of time under HC 757/22. </w:t>
      </w:r>
    </w:p>
    <w:p w14:paraId="54F19906" w14:textId="3084E629" w:rsidR="00A55CD9" w:rsidRPr="00A55CD9" w:rsidRDefault="00A55CD9" w:rsidP="00DC2F58">
      <w:pPr>
        <w:spacing w:line="360" w:lineRule="auto"/>
        <w:jc w:val="both"/>
        <w:rPr>
          <w:b/>
        </w:rPr>
      </w:pPr>
      <w:r w:rsidRPr="00A55CD9">
        <w:rPr>
          <w:b/>
        </w:rPr>
        <w:t>Analysis of the case</w:t>
      </w:r>
      <w:r w:rsidR="00E27476">
        <w:rPr>
          <w:b/>
        </w:rPr>
        <w:t>s before the court</w:t>
      </w:r>
    </w:p>
    <w:p w14:paraId="5BF70FED" w14:textId="0ECA4F1E" w:rsidR="00290FCD" w:rsidRDefault="00290FCD" w:rsidP="00A55CD9">
      <w:pPr>
        <w:spacing w:line="360" w:lineRule="auto"/>
        <w:jc w:val="both"/>
      </w:pPr>
      <w:r>
        <w:tab/>
        <w:t xml:space="preserve">I will deal with the two applications simultaneously since the legal principles applicable are the same. </w:t>
      </w:r>
      <w:r w:rsidR="006978AD">
        <w:t xml:space="preserve">Generally, condonation is essentially a matter of discretion of the presiding judge which discretion must be exercised judiciously. The court is permitted on good cause shown condone any non-compliance with the rules. The circumstances or cause must be such that a valid </w:t>
      </w:r>
      <w:r w:rsidR="006978AD">
        <w:lastRenderedPageBreak/>
        <w:t xml:space="preserve">and justifiable reason exists why compliance did not occur and why non-compliance can be condoned. </w:t>
      </w:r>
      <w:r w:rsidR="00A55CD9">
        <w:t xml:space="preserve">In this respect, </w:t>
      </w:r>
      <w:r w:rsidR="00A55CD9">
        <w:rPr>
          <w:i/>
          <w:iCs/>
        </w:rPr>
        <w:t xml:space="preserve">Melane </w:t>
      </w:r>
      <w:r w:rsidR="00A55CD9" w:rsidRPr="003A1376">
        <w:rPr>
          <w:iCs/>
        </w:rPr>
        <w:t>v</w:t>
      </w:r>
      <w:r w:rsidR="00A55CD9">
        <w:rPr>
          <w:i/>
          <w:iCs/>
        </w:rPr>
        <w:t xml:space="preserve"> </w:t>
      </w:r>
      <w:r w:rsidR="006C662C" w:rsidRPr="006C662C">
        <w:rPr>
          <w:i/>
          <w:iCs/>
        </w:rPr>
        <w:t>Santana Insurance Co Ltd</w:t>
      </w:r>
      <w:r w:rsidR="006C662C">
        <w:t xml:space="preserve"> 1962 (4) SA 531 (A) at 432 C-F</w:t>
      </w:r>
      <w:r w:rsidR="00A55CD9">
        <w:t>,</w:t>
      </w:r>
      <w:r w:rsidR="006C662C">
        <w:t xml:space="preserve"> it was stated that:</w:t>
      </w:r>
    </w:p>
    <w:p w14:paraId="0DEFD259" w14:textId="77777777" w:rsidR="00A55CD9" w:rsidRDefault="00A55CD9" w:rsidP="00A55CD9">
      <w:pPr>
        <w:jc w:val="both"/>
      </w:pPr>
    </w:p>
    <w:p w14:paraId="7FF60DF1" w14:textId="6A640186" w:rsidR="006C662C" w:rsidRDefault="006C662C" w:rsidP="00A55CD9">
      <w:pPr>
        <w:ind w:left="1440"/>
        <w:jc w:val="both"/>
      </w:pPr>
      <w:r>
        <w:t>“In deciding whether sufficient cause has been shown the basic principle is that the court has a discretion to be exercised judicially upon a consideration of all the facts and in essence it is a matter of fairness to both sides.”</w:t>
      </w:r>
    </w:p>
    <w:p w14:paraId="3CE2AF71" w14:textId="77777777" w:rsidR="003A1376" w:rsidRDefault="003A1376" w:rsidP="00DC2F58">
      <w:pPr>
        <w:spacing w:line="360" w:lineRule="auto"/>
        <w:jc w:val="both"/>
      </w:pPr>
    </w:p>
    <w:p w14:paraId="65422A6B" w14:textId="669225B3" w:rsidR="006978AD" w:rsidRDefault="006978AD" w:rsidP="00DC2F58">
      <w:pPr>
        <w:spacing w:line="360" w:lineRule="auto"/>
        <w:jc w:val="both"/>
      </w:pPr>
      <w:r>
        <w:tab/>
        <w:t xml:space="preserve">Under HC 3965/21, the judgment creditor attributed its delay in filing its notice of opposition to the Christmas break coupled with lockdown. On the other </w:t>
      </w:r>
      <w:r w:rsidR="00EB6CEF">
        <w:t>hand,</w:t>
      </w:r>
      <w:r>
        <w:t xml:space="preserve"> the claimants attributed their delay in filing their heads of argument to lack of financial </w:t>
      </w:r>
      <w:r w:rsidR="00EB6CEF">
        <w:t>resources. In my view all these are justifiable reasons why compliance did not occur and why the n</w:t>
      </w:r>
      <w:r w:rsidR="00855D94">
        <w:t>on-compliance can be condoned. Notably, i</w:t>
      </w:r>
      <w:r w:rsidR="00EB6CEF">
        <w:t xml:space="preserve">n </w:t>
      </w:r>
      <w:r w:rsidR="00EB6CEF" w:rsidRPr="00EB6CEF">
        <w:rPr>
          <w:i/>
          <w:iCs/>
        </w:rPr>
        <w:t>Nelson Mandela Metropol</w:t>
      </w:r>
      <w:r w:rsidR="002A4235">
        <w:rPr>
          <w:i/>
          <w:iCs/>
        </w:rPr>
        <w:t xml:space="preserve">itan Municipality </w:t>
      </w:r>
      <w:r w:rsidR="003A1376">
        <w:rPr>
          <w:i/>
          <w:iCs/>
        </w:rPr>
        <w:t xml:space="preserve">&amp; </w:t>
      </w:r>
      <w:r w:rsidR="002A4235">
        <w:rPr>
          <w:i/>
          <w:iCs/>
        </w:rPr>
        <w:t>Ors</w:t>
      </w:r>
      <w:r w:rsidR="00FA51E7">
        <w:rPr>
          <w:i/>
          <w:iCs/>
        </w:rPr>
        <w:t xml:space="preserve"> </w:t>
      </w:r>
      <w:r w:rsidR="00FA51E7" w:rsidRPr="003A1376">
        <w:rPr>
          <w:iCs/>
        </w:rPr>
        <w:t>v</w:t>
      </w:r>
      <w:r w:rsidR="002A4235">
        <w:rPr>
          <w:i/>
          <w:iCs/>
        </w:rPr>
        <w:t xml:space="preserve"> Greyvenouw CC </w:t>
      </w:r>
      <w:r w:rsidR="003A1376">
        <w:rPr>
          <w:i/>
          <w:iCs/>
        </w:rPr>
        <w:t xml:space="preserve">&amp; </w:t>
      </w:r>
      <w:r w:rsidR="002A4235">
        <w:rPr>
          <w:i/>
          <w:iCs/>
        </w:rPr>
        <w:t xml:space="preserve">Ors </w:t>
      </w:r>
      <w:r w:rsidR="00EB6CEF">
        <w:t>2004 (2) SA 81 (SE)</w:t>
      </w:r>
      <w:r w:rsidR="002A4235">
        <w:t>,</w:t>
      </w:r>
      <w:r w:rsidR="00EB6CEF">
        <w:t xml:space="preserve"> the court held that:</w:t>
      </w:r>
    </w:p>
    <w:p w14:paraId="60150A7A" w14:textId="77777777" w:rsidR="00F97F74" w:rsidRPr="00F97F74" w:rsidRDefault="00F97F74" w:rsidP="00DC2F58">
      <w:pPr>
        <w:spacing w:line="360" w:lineRule="auto"/>
        <w:jc w:val="both"/>
        <w:rPr>
          <w:sz w:val="16"/>
          <w:szCs w:val="16"/>
        </w:rPr>
      </w:pPr>
    </w:p>
    <w:p w14:paraId="28F84AA3" w14:textId="157D28AC" w:rsidR="00EB6CEF" w:rsidRPr="00F97F74" w:rsidRDefault="00EB6CEF" w:rsidP="00F97F74">
      <w:pPr>
        <w:ind w:left="1440"/>
        <w:jc w:val="both"/>
        <w:rPr>
          <w:sz w:val="22"/>
          <w:szCs w:val="22"/>
        </w:rPr>
      </w:pPr>
      <w:r w:rsidRPr="00F97F74">
        <w:rPr>
          <w:sz w:val="22"/>
          <w:szCs w:val="22"/>
        </w:rPr>
        <w:t>“The court should eschew technical defects and turn its back on inflexible formalism on order to secure the expeditious decisions of matters on their real merits, so avoiding the incurrence of unnecessary delays and costs.”</w:t>
      </w:r>
    </w:p>
    <w:p w14:paraId="4EDF2A28" w14:textId="77777777" w:rsidR="00EB6CEF" w:rsidRDefault="00EB6CEF" w:rsidP="00EB6CEF">
      <w:pPr>
        <w:spacing w:line="360" w:lineRule="auto"/>
        <w:jc w:val="both"/>
      </w:pPr>
    </w:p>
    <w:p w14:paraId="41578A88" w14:textId="1809CD95" w:rsidR="00EB6CEF" w:rsidRDefault="00EB6CEF" w:rsidP="00EB6CEF">
      <w:pPr>
        <w:spacing w:line="360" w:lineRule="auto"/>
        <w:jc w:val="both"/>
      </w:pPr>
      <w:r>
        <w:t xml:space="preserve">Furthermore, in </w:t>
      </w:r>
      <w:r w:rsidRPr="006C662C">
        <w:rPr>
          <w:i/>
          <w:iCs/>
        </w:rPr>
        <w:t>Na</w:t>
      </w:r>
      <w:r w:rsidR="00F97F74">
        <w:rPr>
          <w:i/>
          <w:iCs/>
        </w:rPr>
        <w:t xml:space="preserve">tional University of Lesotho </w:t>
      </w:r>
      <w:r w:rsidR="00F97F74" w:rsidRPr="003A1376">
        <w:rPr>
          <w:iCs/>
        </w:rPr>
        <w:t>v</w:t>
      </w:r>
      <w:r w:rsidRPr="006C662C">
        <w:rPr>
          <w:i/>
          <w:iCs/>
        </w:rPr>
        <w:t xml:space="preserve"> Thabani</w:t>
      </w:r>
      <w:r>
        <w:t xml:space="preserve"> LSCA 26-08</w:t>
      </w:r>
      <w:r w:rsidR="006C662C">
        <w:t>:</w:t>
      </w:r>
    </w:p>
    <w:p w14:paraId="4B20900A" w14:textId="77777777" w:rsidR="00F97F74" w:rsidRPr="00F97F74" w:rsidRDefault="00F97F74" w:rsidP="00EB6CEF">
      <w:pPr>
        <w:spacing w:line="360" w:lineRule="auto"/>
        <w:jc w:val="both"/>
        <w:rPr>
          <w:sz w:val="12"/>
          <w:szCs w:val="12"/>
        </w:rPr>
      </w:pPr>
    </w:p>
    <w:p w14:paraId="5817FF9F" w14:textId="32EBBBA5" w:rsidR="006C662C" w:rsidRPr="00F97F74" w:rsidRDefault="006C662C" w:rsidP="00F97F74">
      <w:pPr>
        <w:ind w:left="1440"/>
        <w:jc w:val="both"/>
        <w:rPr>
          <w:sz w:val="22"/>
          <w:szCs w:val="22"/>
        </w:rPr>
      </w:pPr>
      <w:r w:rsidRPr="00F97F74">
        <w:rPr>
          <w:sz w:val="22"/>
          <w:szCs w:val="22"/>
        </w:rPr>
        <w:t>“Rules are not cast in stone. This court retains a discretion to condone a breach of its Rules in order to achieve a just result. The attainment of justice is this court’s ultimate aim.”</w:t>
      </w:r>
    </w:p>
    <w:p w14:paraId="44386B3C" w14:textId="77777777" w:rsidR="00C947DC" w:rsidRDefault="00C947DC" w:rsidP="00DC2F58">
      <w:pPr>
        <w:spacing w:line="360" w:lineRule="auto"/>
        <w:jc w:val="both"/>
      </w:pPr>
    </w:p>
    <w:p w14:paraId="3EC1C06F" w14:textId="120E4485" w:rsidR="00C947DC" w:rsidRDefault="00B9117C" w:rsidP="00DC2F58">
      <w:pPr>
        <w:spacing w:line="360" w:lineRule="auto"/>
        <w:jc w:val="both"/>
      </w:pPr>
      <w:r>
        <w:tab/>
        <w:t xml:space="preserve">Consequently (and in light of the case authorities I have cited above), </w:t>
      </w:r>
      <w:r w:rsidR="003F1559">
        <w:t xml:space="preserve">I will allow </w:t>
      </w:r>
      <w:r w:rsidR="006C662C">
        <w:t xml:space="preserve">the application under HC 757/22 for leave to file </w:t>
      </w:r>
      <w:r w:rsidR="003F1559">
        <w:t>the heads of argument</w:t>
      </w:r>
      <w:r w:rsidR="006C662C">
        <w:t xml:space="preserve">. After careful consideration of the papers under HC 3965/21, the application for the lifting of the bar operating against the judgement creditor is </w:t>
      </w:r>
      <w:r>
        <w:t xml:space="preserve">also </w:t>
      </w:r>
      <w:r w:rsidR="006C662C">
        <w:t xml:space="preserve">granted. </w:t>
      </w:r>
    </w:p>
    <w:p w14:paraId="49068611" w14:textId="64FA4F06" w:rsidR="00262173" w:rsidRDefault="00B9117C" w:rsidP="003F3CF5">
      <w:pPr>
        <w:spacing w:line="360" w:lineRule="auto"/>
        <w:ind w:firstLine="720"/>
        <w:jc w:val="both"/>
      </w:pPr>
      <w:r>
        <w:t>I note that i</w:t>
      </w:r>
      <w:r w:rsidR="00262173">
        <w:t xml:space="preserve">n its opposing papers, the judgment creditor raised preliminary points </w:t>
      </w:r>
      <w:r w:rsidR="00D57389">
        <w:t>which it later abandoned</w:t>
      </w:r>
      <w:r w:rsidR="003E1BCE">
        <w:t>.</w:t>
      </w:r>
      <w:r w:rsidR="00D57389">
        <w:t xml:space="preserve"> </w:t>
      </w:r>
      <w:r w:rsidR="003E1BCE">
        <w:t xml:space="preserve">Those points </w:t>
      </w:r>
      <w:r w:rsidR="003E1BCE" w:rsidRPr="003E1BCE">
        <w:rPr>
          <w:i/>
        </w:rPr>
        <w:t>in limine</w:t>
      </w:r>
      <w:r w:rsidR="003E1BCE">
        <w:t xml:space="preserve"> were to</w:t>
      </w:r>
      <w:r w:rsidR="00262173">
        <w:t xml:space="preserve"> the effect that the matter is now </w:t>
      </w:r>
      <w:r w:rsidR="00262173" w:rsidRPr="003E1BCE">
        <w:rPr>
          <w:i/>
        </w:rPr>
        <w:t>res judicata</w:t>
      </w:r>
      <w:r w:rsidR="00262173">
        <w:t xml:space="preserve"> and that the court is now </w:t>
      </w:r>
      <w:r w:rsidR="00262173" w:rsidRPr="003E1BCE">
        <w:rPr>
          <w:i/>
        </w:rPr>
        <w:t>functus officio</w:t>
      </w:r>
      <w:r w:rsidR="00262173">
        <w:t xml:space="preserve"> since this court has already entertained the same dispute under </w:t>
      </w:r>
      <w:r w:rsidR="001A72AE">
        <w:lastRenderedPageBreak/>
        <w:t>HC 2635/20. It was also submitted</w:t>
      </w:r>
      <w:r w:rsidR="00262173">
        <w:t xml:space="preserve"> that the interpleader notice is improperly before the court as it does not comply with Order 30, Rule 206 (2) of the High Court Rules 1971. </w:t>
      </w:r>
    </w:p>
    <w:p w14:paraId="53287E84" w14:textId="13DC1CE2" w:rsidR="00D57389" w:rsidRDefault="00262173" w:rsidP="00302F87">
      <w:pPr>
        <w:spacing w:line="360" w:lineRule="auto"/>
        <w:ind w:firstLine="720"/>
        <w:jc w:val="both"/>
      </w:pPr>
      <w:r>
        <w:t xml:space="preserve">On the merits, the judgment creditor submitted that the company registration of the judgment debtor shows that the two directors and shareholders are the </w:t>
      </w:r>
      <w:r w:rsidR="003A1376">
        <w:t>first</w:t>
      </w:r>
      <w:r>
        <w:t xml:space="preserve"> and </w:t>
      </w:r>
      <w:r w:rsidR="003A1376">
        <w:t>second</w:t>
      </w:r>
      <w:r>
        <w:t xml:space="preserve"> claimants, the official address of the judgment debtor is 8 Hastings Road, Highlands, Harare. In addition, the judgment creditor argued that the claimants failed to prove ownership of the property. According to the judgment creditor, the registration books for the motor vehicles is insufficient to prove ownership. It is judgment creditor’s case that the </w:t>
      </w:r>
      <w:r w:rsidR="003A1376">
        <w:t>second</w:t>
      </w:r>
      <w:r>
        <w:t xml:space="preserve"> claimant in HC </w:t>
      </w:r>
      <w:r w:rsidR="00673AC8">
        <w:t xml:space="preserve">2635/20 attested in her affidavit that she was the owner of the moveable property now </w:t>
      </w:r>
      <w:r w:rsidR="003A1376">
        <w:t>she claims to belong to one Mrs</w:t>
      </w:r>
      <w:r w:rsidR="00673AC8">
        <w:t xml:space="preserve"> Ndebele.</w:t>
      </w:r>
    </w:p>
    <w:p w14:paraId="026E8962" w14:textId="54613995" w:rsidR="00D57389" w:rsidRDefault="00D57389" w:rsidP="00D57389">
      <w:pPr>
        <w:spacing w:line="360" w:lineRule="auto"/>
        <w:jc w:val="both"/>
      </w:pPr>
      <w:r>
        <w:tab/>
        <w:t>The judgment under HC 4977/16 is instructive in resolving the present matter. As was indicated by the claimants, they were not party to the proceedings therein. Consequently, the property that the Sheriff attached was not attachable. In support of this position, I wish to quote the relevant part of the judgment which reads:</w:t>
      </w:r>
    </w:p>
    <w:p w14:paraId="30EAFC25" w14:textId="77777777" w:rsidR="00A27121" w:rsidRPr="00A27121" w:rsidRDefault="00A27121" w:rsidP="00A27121">
      <w:pPr>
        <w:jc w:val="both"/>
        <w:rPr>
          <w:sz w:val="22"/>
          <w:szCs w:val="22"/>
        </w:rPr>
      </w:pPr>
    </w:p>
    <w:p w14:paraId="455172C4" w14:textId="7DEBA01D" w:rsidR="00D57389" w:rsidRPr="00A27121" w:rsidRDefault="00D57389" w:rsidP="00A27121">
      <w:pPr>
        <w:ind w:left="1440"/>
        <w:jc w:val="both"/>
        <w:rPr>
          <w:sz w:val="22"/>
          <w:szCs w:val="22"/>
        </w:rPr>
      </w:pPr>
      <w:r w:rsidRPr="00A27121">
        <w:rPr>
          <w:sz w:val="22"/>
          <w:szCs w:val="22"/>
        </w:rPr>
        <w:t xml:space="preserve">“…At the commencement of the trial, the plaintiff abandoned the claim </w:t>
      </w:r>
      <w:r w:rsidR="005D2B64" w:rsidRPr="00A27121">
        <w:rPr>
          <w:sz w:val="22"/>
          <w:szCs w:val="22"/>
        </w:rPr>
        <w:t>for collection commission and withdrew the claim against the first defendant and tendered his costs.”</w:t>
      </w:r>
    </w:p>
    <w:p w14:paraId="35003AE2" w14:textId="77777777" w:rsidR="005D2B64" w:rsidRDefault="005D2B64" w:rsidP="005D2B64">
      <w:pPr>
        <w:spacing w:line="360" w:lineRule="auto"/>
        <w:jc w:val="both"/>
      </w:pPr>
    </w:p>
    <w:p w14:paraId="5DE11AC5" w14:textId="4870DEBB" w:rsidR="005D2B64" w:rsidRDefault="005D2B64" w:rsidP="007A30D7">
      <w:pPr>
        <w:spacing w:line="360" w:lineRule="auto"/>
        <w:jc w:val="both"/>
      </w:pPr>
      <w:r>
        <w:tab/>
        <w:t>With the above caption, it is clear that the claimants were not a party to the said proceedings</w:t>
      </w:r>
      <w:r w:rsidR="00A27121">
        <w:t>. This point is apparently conceded by the judgment creditor</w:t>
      </w:r>
      <w:r w:rsidR="00155650">
        <w:t>. However, the judgment creditor attempts</w:t>
      </w:r>
      <w:r>
        <w:t xml:space="preserve"> to be ingenious by arguing the principle of piercing </w:t>
      </w:r>
      <w:r w:rsidR="00155650">
        <w:t xml:space="preserve">of </w:t>
      </w:r>
      <w:r w:rsidR="004B040B">
        <w:t>the corporate veil. I have not come across</w:t>
      </w:r>
      <w:r>
        <w:t xml:space="preserve"> any decision supporting this position especially in interpleader proceedings. Interpleader proceedings are only limited to one objecting to the seizure and attachment of property. The judgment creditor ought to have applied for the lifting of the corporate veil in the</w:t>
      </w:r>
      <w:r w:rsidR="00A4296D">
        <w:t xml:space="preserve"> main matter not in the context of the application before me. I find no merit in its argument</w:t>
      </w:r>
      <w:r w:rsidR="007A30D7">
        <w:t>, and am inclined to rule in favour of the claimants. As costs are in the discretion of the court, and are usually awarded to the successful party, I will not award costs in favour of the claimants even though they have been successful in the claim for the attached property.</w:t>
      </w:r>
      <w:r w:rsidR="00F917C5">
        <w:t xml:space="preserve"> In my view, the order that I will make will meet the justice of the case.</w:t>
      </w:r>
      <w:r w:rsidR="007A30D7">
        <w:t xml:space="preserve"> </w:t>
      </w:r>
    </w:p>
    <w:p w14:paraId="6788C64B" w14:textId="77777777" w:rsidR="002557F7" w:rsidRDefault="002557F7" w:rsidP="007A30D7">
      <w:pPr>
        <w:spacing w:line="360" w:lineRule="auto"/>
        <w:jc w:val="both"/>
      </w:pPr>
    </w:p>
    <w:p w14:paraId="052C0B3C" w14:textId="77777777" w:rsidR="002557F7" w:rsidRDefault="002557F7" w:rsidP="007A30D7">
      <w:pPr>
        <w:spacing w:line="360" w:lineRule="auto"/>
        <w:jc w:val="both"/>
      </w:pPr>
    </w:p>
    <w:p w14:paraId="369508B5" w14:textId="5B799156" w:rsidR="005D2B64" w:rsidRDefault="005D2B64" w:rsidP="0068137D">
      <w:pPr>
        <w:spacing w:line="360" w:lineRule="auto"/>
        <w:ind w:firstLine="720"/>
        <w:jc w:val="both"/>
      </w:pPr>
      <w:r w:rsidRPr="003A1376">
        <w:rPr>
          <w:b/>
        </w:rPr>
        <w:t>Consequently, I make the following order</w:t>
      </w:r>
      <w:r>
        <w:t>:</w:t>
      </w:r>
    </w:p>
    <w:p w14:paraId="4C1228BF" w14:textId="61EC1E9B" w:rsidR="005D2B64" w:rsidRDefault="005D2B64" w:rsidP="005D2B64">
      <w:pPr>
        <w:pStyle w:val="ListParagraph"/>
        <w:numPr>
          <w:ilvl w:val="0"/>
          <w:numId w:val="34"/>
        </w:numPr>
        <w:spacing w:line="360" w:lineRule="auto"/>
        <w:jc w:val="both"/>
      </w:pPr>
      <w:r>
        <w:t xml:space="preserve">The </w:t>
      </w:r>
      <w:r w:rsidR="003A1376">
        <w:t>first</w:t>
      </w:r>
      <w:r>
        <w:t xml:space="preserve"> claimant’s claim to the Mercedes Benz C250 with registration number AEX 5428 which was placed under attachment in execution of judgment HC 4977/16 is hereby granted.</w:t>
      </w:r>
    </w:p>
    <w:p w14:paraId="6FBA3E7F" w14:textId="6D721EA4" w:rsidR="00AA0954" w:rsidRDefault="005D2B64" w:rsidP="005D2B64">
      <w:pPr>
        <w:pStyle w:val="ListParagraph"/>
        <w:numPr>
          <w:ilvl w:val="0"/>
          <w:numId w:val="34"/>
        </w:numPr>
        <w:spacing w:line="360" w:lineRule="auto"/>
        <w:jc w:val="both"/>
      </w:pPr>
      <w:r>
        <w:t xml:space="preserve">The </w:t>
      </w:r>
      <w:r w:rsidR="003A1376">
        <w:t>second</w:t>
      </w:r>
      <w:r>
        <w:t xml:space="preserve"> claimant’s claim to a Mercedes Benz C200 with registration number ABP </w:t>
      </w:r>
      <w:r w:rsidR="00AA0954">
        <w:t>9353, a wood display dresser, 4 piece white sofas, a Defy upright fridge and display furniture which was placed under attachment in execution of judgment HC 4977/16 is hereby granted.</w:t>
      </w:r>
    </w:p>
    <w:p w14:paraId="1BCCE484" w14:textId="2A76AC68" w:rsidR="00AA0954" w:rsidRDefault="00AA0954" w:rsidP="005D2B64">
      <w:pPr>
        <w:pStyle w:val="ListParagraph"/>
        <w:numPr>
          <w:ilvl w:val="0"/>
          <w:numId w:val="34"/>
        </w:numPr>
        <w:spacing w:line="360" w:lineRule="auto"/>
        <w:jc w:val="both"/>
      </w:pPr>
      <w:r>
        <w:t xml:space="preserve">The movable property claimed by the </w:t>
      </w:r>
      <w:r w:rsidR="003A1376">
        <w:t>first</w:t>
      </w:r>
      <w:r>
        <w:t xml:space="preserve"> and </w:t>
      </w:r>
      <w:r w:rsidR="003A1376">
        <w:t>second</w:t>
      </w:r>
      <w:r>
        <w:t xml:space="preserve"> claimant respectively which was attached in terms of Notice of Seizure and Attachment dated 23 November 2020 issued by applicant is hereby declared not executable. </w:t>
      </w:r>
    </w:p>
    <w:p w14:paraId="4C3DE58B" w14:textId="385B50E1" w:rsidR="0078604C" w:rsidRDefault="00AA0954" w:rsidP="00AA0954">
      <w:pPr>
        <w:pStyle w:val="ListParagraph"/>
        <w:numPr>
          <w:ilvl w:val="0"/>
          <w:numId w:val="34"/>
        </w:numPr>
        <w:spacing w:line="360" w:lineRule="auto"/>
        <w:jc w:val="both"/>
      </w:pPr>
      <w:r>
        <w:t>No order as to costs</w:t>
      </w:r>
      <w:r w:rsidR="00B6391E">
        <w:t xml:space="preserve">. </w:t>
      </w:r>
    </w:p>
    <w:p w14:paraId="223AA002" w14:textId="2428B85D" w:rsidR="00CB4EA4" w:rsidRDefault="00CB4EA4" w:rsidP="00CB4EA4">
      <w:pPr>
        <w:spacing w:line="360" w:lineRule="auto"/>
        <w:jc w:val="both"/>
      </w:pPr>
    </w:p>
    <w:p w14:paraId="493584A0" w14:textId="252DDAD9" w:rsidR="00CB4EA4" w:rsidRDefault="00CB4EA4" w:rsidP="00CB4EA4">
      <w:pPr>
        <w:spacing w:line="360" w:lineRule="auto"/>
        <w:jc w:val="both"/>
      </w:pPr>
    </w:p>
    <w:p w14:paraId="25C0E7A7" w14:textId="77777777" w:rsidR="003A1376" w:rsidRDefault="003A1376" w:rsidP="00CB4EA4">
      <w:pPr>
        <w:spacing w:line="360" w:lineRule="auto"/>
        <w:jc w:val="both"/>
      </w:pPr>
    </w:p>
    <w:p w14:paraId="77FF0E98" w14:textId="72F6F1D4" w:rsidR="00CB4EA4" w:rsidRDefault="00CB4EA4" w:rsidP="00CB4EA4">
      <w:pPr>
        <w:jc w:val="both"/>
      </w:pPr>
      <w:r w:rsidRPr="00B85943">
        <w:rPr>
          <w:i/>
        </w:rPr>
        <w:t>Dube-Banda, Nzarayapenga &amp; Partners</w:t>
      </w:r>
      <w:r>
        <w:t>, applicant’s legal practitioners</w:t>
      </w:r>
    </w:p>
    <w:p w14:paraId="60BCE7E0" w14:textId="444672F6" w:rsidR="00CB4EA4" w:rsidRDefault="00CB4EA4" w:rsidP="00CB4EA4">
      <w:pPr>
        <w:jc w:val="both"/>
      </w:pPr>
      <w:r w:rsidRPr="0078426C">
        <w:rPr>
          <w:i/>
        </w:rPr>
        <w:t xml:space="preserve">Lawman Law </w:t>
      </w:r>
      <w:r w:rsidR="003A1376" w:rsidRPr="0078426C">
        <w:rPr>
          <w:i/>
        </w:rPr>
        <w:t>Chambers</w:t>
      </w:r>
      <w:r>
        <w:t>, judgment creditor’s legal practitioners</w:t>
      </w:r>
    </w:p>
    <w:p w14:paraId="730CC161" w14:textId="50623A14" w:rsidR="00CB4EA4" w:rsidRPr="007C7786" w:rsidRDefault="00CB4EA4" w:rsidP="00CB4EA4">
      <w:pPr>
        <w:jc w:val="both"/>
      </w:pPr>
      <w:r w:rsidRPr="0078426C">
        <w:rPr>
          <w:i/>
        </w:rPr>
        <w:t>Chizengeya, Maeresa &amp; Chikumba,</w:t>
      </w:r>
      <w:r>
        <w:t xml:space="preserve"> claimant’s legal practitioners</w:t>
      </w:r>
    </w:p>
    <w:sectPr w:rsidR="00CB4EA4" w:rsidRPr="007C7786" w:rsidSect="00A20B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A339B" w14:textId="77777777" w:rsidR="00C31D2A" w:rsidRPr="00E9212C" w:rsidRDefault="00C31D2A" w:rsidP="005A4D7A">
      <w:r w:rsidRPr="00E9212C">
        <w:separator/>
      </w:r>
    </w:p>
  </w:endnote>
  <w:endnote w:type="continuationSeparator" w:id="0">
    <w:p w14:paraId="03D7783E" w14:textId="77777777" w:rsidR="00C31D2A" w:rsidRPr="00E9212C" w:rsidRDefault="00C31D2A" w:rsidP="005A4D7A">
      <w:r w:rsidRPr="00E921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D6227" w14:textId="77777777" w:rsidR="00C31D2A" w:rsidRPr="00E9212C" w:rsidRDefault="00C31D2A" w:rsidP="005A4D7A">
      <w:r w:rsidRPr="00E9212C">
        <w:separator/>
      </w:r>
    </w:p>
  </w:footnote>
  <w:footnote w:type="continuationSeparator" w:id="0">
    <w:p w14:paraId="1F177E1D" w14:textId="77777777" w:rsidR="00C31D2A" w:rsidRPr="00E9212C" w:rsidRDefault="00C31D2A" w:rsidP="005A4D7A">
      <w:r w:rsidRPr="00E9212C">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018027"/>
      <w:docPartObj>
        <w:docPartGallery w:val="Page Numbers (Top of Page)"/>
        <w:docPartUnique/>
      </w:docPartObj>
    </w:sdtPr>
    <w:sdtEndPr>
      <w:rPr>
        <w:noProof/>
        <w:sz w:val="22"/>
        <w:szCs w:val="22"/>
      </w:rPr>
    </w:sdtEndPr>
    <w:sdtContent>
      <w:p w14:paraId="6091FC73" w14:textId="37731E99" w:rsidR="003E1BCE" w:rsidRDefault="00E27476">
        <w:pPr>
          <w:pStyle w:val="Header"/>
          <w:jc w:val="right"/>
          <w:rPr>
            <w:noProof/>
            <w:sz w:val="22"/>
            <w:szCs w:val="22"/>
          </w:rPr>
        </w:pPr>
        <w:r w:rsidRPr="001E0606">
          <w:rPr>
            <w:sz w:val="22"/>
            <w:szCs w:val="22"/>
          </w:rPr>
          <w:fldChar w:fldCharType="begin"/>
        </w:r>
        <w:r w:rsidRPr="001E0606">
          <w:rPr>
            <w:sz w:val="22"/>
            <w:szCs w:val="22"/>
          </w:rPr>
          <w:instrText xml:space="preserve"> PAGE   \* MERGEFORMAT </w:instrText>
        </w:r>
        <w:r w:rsidRPr="001E0606">
          <w:rPr>
            <w:sz w:val="22"/>
            <w:szCs w:val="22"/>
          </w:rPr>
          <w:fldChar w:fldCharType="separate"/>
        </w:r>
        <w:r w:rsidR="00D94EAA">
          <w:rPr>
            <w:noProof/>
            <w:sz w:val="22"/>
            <w:szCs w:val="22"/>
          </w:rPr>
          <w:t>1</w:t>
        </w:r>
        <w:r w:rsidRPr="001E0606">
          <w:rPr>
            <w:noProof/>
            <w:sz w:val="22"/>
            <w:szCs w:val="22"/>
          </w:rPr>
          <w:fldChar w:fldCharType="end"/>
        </w:r>
      </w:p>
      <w:p w14:paraId="219516E0" w14:textId="390332FB" w:rsidR="003A1376" w:rsidRPr="001E0606" w:rsidRDefault="003A1376">
        <w:pPr>
          <w:pStyle w:val="Header"/>
          <w:jc w:val="right"/>
          <w:rPr>
            <w:noProof/>
            <w:sz w:val="22"/>
            <w:szCs w:val="22"/>
          </w:rPr>
        </w:pPr>
        <w:r>
          <w:rPr>
            <w:noProof/>
            <w:sz w:val="22"/>
            <w:szCs w:val="22"/>
          </w:rPr>
          <w:t>HH 183-24</w:t>
        </w:r>
      </w:p>
      <w:p w14:paraId="48E1527C" w14:textId="77777777" w:rsidR="003E1BCE" w:rsidRPr="001E0606" w:rsidRDefault="003E1BCE">
        <w:pPr>
          <w:pStyle w:val="Header"/>
          <w:jc w:val="right"/>
          <w:rPr>
            <w:noProof/>
            <w:sz w:val="22"/>
            <w:szCs w:val="22"/>
          </w:rPr>
        </w:pPr>
        <w:r w:rsidRPr="001E0606">
          <w:rPr>
            <w:noProof/>
            <w:sz w:val="22"/>
            <w:szCs w:val="22"/>
          </w:rPr>
          <w:t>HC 7601/20</w:t>
        </w:r>
      </w:p>
      <w:p w14:paraId="343A0AAC" w14:textId="0D038E88" w:rsidR="008D7EA3" w:rsidRPr="001E0606" w:rsidRDefault="003E1BCE">
        <w:pPr>
          <w:pStyle w:val="Header"/>
          <w:jc w:val="right"/>
          <w:rPr>
            <w:noProof/>
            <w:sz w:val="22"/>
            <w:szCs w:val="22"/>
          </w:rPr>
        </w:pPr>
        <w:r w:rsidRPr="001E0606">
          <w:rPr>
            <w:noProof/>
            <w:sz w:val="22"/>
            <w:szCs w:val="22"/>
          </w:rPr>
          <w:t>Ref Cases: HC 4977/1</w:t>
        </w:r>
        <w:r w:rsidR="00341A34">
          <w:rPr>
            <w:noProof/>
            <w:sz w:val="22"/>
            <w:szCs w:val="22"/>
          </w:rPr>
          <w:t>6</w:t>
        </w:r>
      </w:p>
      <w:p w14:paraId="29016BD0" w14:textId="77777777" w:rsidR="008D7EA3" w:rsidRPr="001E0606" w:rsidRDefault="008D7EA3">
        <w:pPr>
          <w:pStyle w:val="Header"/>
          <w:jc w:val="right"/>
          <w:rPr>
            <w:noProof/>
            <w:sz w:val="22"/>
            <w:szCs w:val="22"/>
          </w:rPr>
        </w:pPr>
        <w:r w:rsidRPr="001E0606">
          <w:rPr>
            <w:noProof/>
            <w:sz w:val="22"/>
            <w:szCs w:val="22"/>
          </w:rPr>
          <w:t>HC 3965/21</w:t>
        </w:r>
      </w:p>
      <w:p w14:paraId="79FE7154" w14:textId="77777777" w:rsidR="0019264A" w:rsidRPr="001E0606" w:rsidRDefault="0096760A">
        <w:pPr>
          <w:pStyle w:val="Header"/>
          <w:jc w:val="right"/>
          <w:rPr>
            <w:noProof/>
            <w:sz w:val="22"/>
            <w:szCs w:val="22"/>
          </w:rPr>
        </w:pPr>
        <w:r w:rsidRPr="001E0606">
          <w:rPr>
            <w:noProof/>
            <w:sz w:val="22"/>
            <w:szCs w:val="22"/>
          </w:rPr>
          <w:t>HC 757/22</w:t>
        </w:r>
      </w:p>
      <w:p w14:paraId="3559034E" w14:textId="606F2186" w:rsidR="00E27476" w:rsidRPr="001E0606" w:rsidRDefault="0019264A">
        <w:pPr>
          <w:pStyle w:val="Header"/>
          <w:jc w:val="right"/>
          <w:rPr>
            <w:sz w:val="22"/>
            <w:szCs w:val="22"/>
          </w:rPr>
        </w:pPr>
        <w:r w:rsidRPr="001E0606">
          <w:rPr>
            <w:noProof/>
            <w:sz w:val="22"/>
            <w:szCs w:val="22"/>
          </w:rPr>
          <w:t>HC 2635/20</w:t>
        </w:r>
      </w:p>
    </w:sdtContent>
  </w:sdt>
  <w:p w14:paraId="09B5474D" w14:textId="77777777" w:rsidR="001F34A3" w:rsidRPr="001E0606" w:rsidRDefault="001F34A3">
    <w:pPr>
      <w:pStyle w:val="Header"/>
      <w:rPr>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A1B721D"/>
    <w:multiLevelType w:val="hybridMultilevel"/>
    <w:tmpl w:val="FE0CAB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C31DB"/>
    <w:multiLevelType w:val="hybridMultilevel"/>
    <w:tmpl w:val="42064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2AF477C"/>
    <w:multiLevelType w:val="hybridMultilevel"/>
    <w:tmpl w:val="93188D92"/>
    <w:lvl w:ilvl="0" w:tplc="934075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27C575EB"/>
    <w:multiLevelType w:val="hybridMultilevel"/>
    <w:tmpl w:val="1690D5BE"/>
    <w:lvl w:ilvl="0" w:tplc="209A30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3A3B3572"/>
    <w:multiLevelType w:val="hybridMultilevel"/>
    <w:tmpl w:val="7DFE0716"/>
    <w:lvl w:ilvl="0" w:tplc="9C9A36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017C6"/>
    <w:multiLevelType w:val="hybridMultilevel"/>
    <w:tmpl w:val="090EB506"/>
    <w:lvl w:ilvl="0" w:tplc="EDFA10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A66F38"/>
    <w:multiLevelType w:val="hybridMultilevel"/>
    <w:tmpl w:val="F942E326"/>
    <w:lvl w:ilvl="0" w:tplc="A4DCFF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8"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29608C"/>
    <w:multiLevelType w:val="hybridMultilevel"/>
    <w:tmpl w:val="E5860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21"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546331D6"/>
    <w:multiLevelType w:val="hybridMultilevel"/>
    <w:tmpl w:val="42C04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15:restartNumberingAfterBreak="0">
    <w:nsid w:val="5BB45224"/>
    <w:multiLevelType w:val="hybridMultilevel"/>
    <w:tmpl w:val="E7BE2998"/>
    <w:lvl w:ilvl="0" w:tplc="C08646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5754BE"/>
    <w:multiLevelType w:val="hybridMultilevel"/>
    <w:tmpl w:val="9C5876A0"/>
    <w:lvl w:ilvl="0" w:tplc="AA04DE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15:restartNumberingAfterBreak="0">
    <w:nsid w:val="7A5D0EC3"/>
    <w:multiLevelType w:val="hybridMultilevel"/>
    <w:tmpl w:val="0A7A51CA"/>
    <w:lvl w:ilvl="0" w:tplc="D834C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BEC7317"/>
    <w:multiLevelType w:val="hybridMultilevel"/>
    <w:tmpl w:val="28F82F02"/>
    <w:lvl w:ilvl="0" w:tplc="C9F676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E8E67FD"/>
    <w:multiLevelType w:val="hybridMultilevel"/>
    <w:tmpl w:val="3F76E396"/>
    <w:lvl w:ilvl="0" w:tplc="7C74E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8"/>
  </w:num>
  <w:num w:numId="3">
    <w:abstractNumId w:val="33"/>
  </w:num>
  <w:num w:numId="4">
    <w:abstractNumId w:val="20"/>
  </w:num>
  <w:num w:numId="5">
    <w:abstractNumId w:val="11"/>
  </w:num>
  <w:num w:numId="6">
    <w:abstractNumId w:val="17"/>
  </w:num>
  <w:num w:numId="7">
    <w:abstractNumId w:val="16"/>
  </w:num>
  <w:num w:numId="8">
    <w:abstractNumId w:val="12"/>
  </w:num>
  <w:num w:numId="9">
    <w:abstractNumId w:val="0"/>
  </w:num>
  <w:num w:numId="10">
    <w:abstractNumId w:val="7"/>
  </w:num>
  <w:num w:numId="11">
    <w:abstractNumId w:val="21"/>
  </w:num>
  <w:num w:numId="12">
    <w:abstractNumId w:val="5"/>
  </w:num>
  <w:num w:numId="13">
    <w:abstractNumId w:val="29"/>
  </w:num>
  <w:num w:numId="14">
    <w:abstractNumId w:val="9"/>
  </w:num>
  <w:num w:numId="15">
    <w:abstractNumId w:val="23"/>
  </w:num>
  <w:num w:numId="16">
    <w:abstractNumId w:val="25"/>
  </w:num>
  <w:num w:numId="17">
    <w:abstractNumId w:val="2"/>
  </w:num>
  <w:num w:numId="18">
    <w:abstractNumId w:val="26"/>
  </w:num>
  <w:num w:numId="19">
    <w:abstractNumId w:val="6"/>
  </w:num>
  <w:num w:numId="20">
    <w:abstractNumId w:val="28"/>
  </w:num>
  <w:num w:numId="21">
    <w:abstractNumId w:val="3"/>
  </w:num>
  <w:num w:numId="22">
    <w:abstractNumId w:val="27"/>
  </w:num>
  <w:num w:numId="23">
    <w:abstractNumId w:val="14"/>
  </w:num>
  <w:num w:numId="24">
    <w:abstractNumId w:val="10"/>
  </w:num>
  <w:num w:numId="25">
    <w:abstractNumId w:val="30"/>
  </w:num>
  <w:num w:numId="26">
    <w:abstractNumId w:val="4"/>
  </w:num>
  <w:num w:numId="27">
    <w:abstractNumId w:val="13"/>
  </w:num>
  <w:num w:numId="28">
    <w:abstractNumId w:val="8"/>
  </w:num>
  <w:num w:numId="29">
    <w:abstractNumId w:val="19"/>
  </w:num>
  <w:num w:numId="30">
    <w:abstractNumId w:val="31"/>
  </w:num>
  <w:num w:numId="31">
    <w:abstractNumId w:val="15"/>
  </w:num>
  <w:num w:numId="32">
    <w:abstractNumId w:val="24"/>
  </w:num>
  <w:num w:numId="33">
    <w:abstractNumId w:val="22"/>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rgUAq7ZWpSwAAAA="/>
  </w:docVars>
  <w:rsids>
    <w:rsidRoot w:val="005A4D7A"/>
    <w:rsid w:val="0000065C"/>
    <w:rsid w:val="0000187D"/>
    <w:rsid w:val="00003953"/>
    <w:rsid w:val="00014283"/>
    <w:rsid w:val="00015011"/>
    <w:rsid w:val="00016103"/>
    <w:rsid w:val="00016290"/>
    <w:rsid w:val="000178BC"/>
    <w:rsid w:val="00020014"/>
    <w:rsid w:val="0002003E"/>
    <w:rsid w:val="00024984"/>
    <w:rsid w:val="0002538E"/>
    <w:rsid w:val="00036F12"/>
    <w:rsid w:val="0003708D"/>
    <w:rsid w:val="00040C2D"/>
    <w:rsid w:val="000437A6"/>
    <w:rsid w:val="00047457"/>
    <w:rsid w:val="00051896"/>
    <w:rsid w:val="00051BCE"/>
    <w:rsid w:val="0005632C"/>
    <w:rsid w:val="00056938"/>
    <w:rsid w:val="000571B7"/>
    <w:rsid w:val="00060409"/>
    <w:rsid w:val="000611E9"/>
    <w:rsid w:val="0006233A"/>
    <w:rsid w:val="000642DE"/>
    <w:rsid w:val="00066EA2"/>
    <w:rsid w:val="000672F9"/>
    <w:rsid w:val="00067E90"/>
    <w:rsid w:val="00074684"/>
    <w:rsid w:val="0007745C"/>
    <w:rsid w:val="00080A17"/>
    <w:rsid w:val="00080CB4"/>
    <w:rsid w:val="00081C16"/>
    <w:rsid w:val="00086001"/>
    <w:rsid w:val="000865EA"/>
    <w:rsid w:val="00090A23"/>
    <w:rsid w:val="00092CAF"/>
    <w:rsid w:val="000952B7"/>
    <w:rsid w:val="000962C6"/>
    <w:rsid w:val="000965BC"/>
    <w:rsid w:val="0009791D"/>
    <w:rsid w:val="000A59D6"/>
    <w:rsid w:val="000A5B71"/>
    <w:rsid w:val="000A5CC0"/>
    <w:rsid w:val="000A6E82"/>
    <w:rsid w:val="000B67D7"/>
    <w:rsid w:val="000B7869"/>
    <w:rsid w:val="000C2DF8"/>
    <w:rsid w:val="000D04FF"/>
    <w:rsid w:val="000D059C"/>
    <w:rsid w:val="000D0B80"/>
    <w:rsid w:val="000D0D48"/>
    <w:rsid w:val="000D534A"/>
    <w:rsid w:val="000D58E2"/>
    <w:rsid w:val="000D71D6"/>
    <w:rsid w:val="000E04DE"/>
    <w:rsid w:val="000E0734"/>
    <w:rsid w:val="000E158A"/>
    <w:rsid w:val="000E203B"/>
    <w:rsid w:val="000E2799"/>
    <w:rsid w:val="000E4218"/>
    <w:rsid w:val="000F17BB"/>
    <w:rsid w:val="000F1D04"/>
    <w:rsid w:val="000F26B8"/>
    <w:rsid w:val="000F2A05"/>
    <w:rsid w:val="000F3663"/>
    <w:rsid w:val="000F4196"/>
    <w:rsid w:val="000F5D3E"/>
    <w:rsid w:val="000F5F75"/>
    <w:rsid w:val="000F74CC"/>
    <w:rsid w:val="00102516"/>
    <w:rsid w:val="0010433B"/>
    <w:rsid w:val="00104513"/>
    <w:rsid w:val="00111097"/>
    <w:rsid w:val="001136B2"/>
    <w:rsid w:val="00116A7B"/>
    <w:rsid w:val="001204CB"/>
    <w:rsid w:val="00122F4E"/>
    <w:rsid w:val="001230D1"/>
    <w:rsid w:val="00123848"/>
    <w:rsid w:val="001243E4"/>
    <w:rsid w:val="00134BA3"/>
    <w:rsid w:val="00136D44"/>
    <w:rsid w:val="00141FC5"/>
    <w:rsid w:val="00146041"/>
    <w:rsid w:val="00150C62"/>
    <w:rsid w:val="00151BAF"/>
    <w:rsid w:val="001528F8"/>
    <w:rsid w:val="001532D5"/>
    <w:rsid w:val="00153963"/>
    <w:rsid w:val="001550E0"/>
    <w:rsid w:val="00155650"/>
    <w:rsid w:val="00155A31"/>
    <w:rsid w:val="00160404"/>
    <w:rsid w:val="0016302F"/>
    <w:rsid w:val="0016794A"/>
    <w:rsid w:val="00171E1D"/>
    <w:rsid w:val="001739C2"/>
    <w:rsid w:val="0019264A"/>
    <w:rsid w:val="00193712"/>
    <w:rsid w:val="00196891"/>
    <w:rsid w:val="00197BA6"/>
    <w:rsid w:val="001A0769"/>
    <w:rsid w:val="001A0DED"/>
    <w:rsid w:val="001A36C2"/>
    <w:rsid w:val="001A4C1C"/>
    <w:rsid w:val="001A72AE"/>
    <w:rsid w:val="001B1927"/>
    <w:rsid w:val="001B19B6"/>
    <w:rsid w:val="001C1FD5"/>
    <w:rsid w:val="001C2442"/>
    <w:rsid w:val="001C5CAC"/>
    <w:rsid w:val="001D0246"/>
    <w:rsid w:val="001D681C"/>
    <w:rsid w:val="001D69CA"/>
    <w:rsid w:val="001E0606"/>
    <w:rsid w:val="001E1FB9"/>
    <w:rsid w:val="001E2CB7"/>
    <w:rsid w:val="001E3A2E"/>
    <w:rsid w:val="001E3F92"/>
    <w:rsid w:val="001E4D55"/>
    <w:rsid w:val="001E67D3"/>
    <w:rsid w:val="001F09AE"/>
    <w:rsid w:val="001F26A1"/>
    <w:rsid w:val="001F34A3"/>
    <w:rsid w:val="001F66F3"/>
    <w:rsid w:val="00210AA3"/>
    <w:rsid w:val="0021311B"/>
    <w:rsid w:val="002135CB"/>
    <w:rsid w:val="00214036"/>
    <w:rsid w:val="00216164"/>
    <w:rsid w:val="0021673D"/>
    <w:rsid w:val="00220E57"/>
    <w:rsid w:val="00222C3C"/>
    <w:rsid w:val="0022768B"/>
    <w:rsid w:val="002320CE"/>
    <w:rsid w:val="002327DD"/>
    <w:rsid w:val="00232A80"/>
    <w:rsid w:val="00233AEE"/>
    <w:rsid w:val="00240C5D"/>
    <w:rsid w:val="00241B7C"/>
    <w:rsid w:val="0024550C"/>
    <w:rsid w:val="00245C7E"/>
    <w:rsid w:val="002506EF"/>
    <w:rsid w:val="00254367"/>
    <w:rsid w:val="002557F7"/>
    <w:rsid w:val="00256EB3"/>
    <w:rsid w:val="00260491"/>
    <w:rsid w:val="002610EF"/>
    <w:rsid w:val="0026143F"/>
    <w:rsid w:val="00261F3E"/>
    <w:rsid w:val="00262173"/>
    <w:rsid w:val="00264E2F"/>
    <w:rsid w:val="00267BD2"/>
    <w:rsid w:val="00272EAD"/>
    <w:rsid w:val="0028493F"/>
    <w:rsid w:val="002850F5"/>
    <w:rsid w:val="00285E64"/>
    <w:rsid w:val="002862F4"/>
    <w:rsid w:val="00290FCD"/>
    <w:rsid w:val="002912A6"/>
    <w:rsid w:val="002918E2"/>
    <w:rsid w:val="00293088"/>
    <w:rsid w:val="00293B8C"/>
    <w:rsid w:val="002955E3"/>
    <w:rsid w:val="002A0A83"/>
    <w:rsid w:val="002A3CB3"/>
    <w:rsid w:val="002A4235"/>
    <w:rsid w:val="002A6F91"/>
    <w:rsid w:val="002B4D4B"/>
    <w:rsid w:val="002C2995"/>
    <w:rsid w:val="002D1758"/>
    <w:rsid w:val="002D2D9C"/>
    <w:rsid w:val="002D34A3"/>
    <w:rsid w:val="002E2667"/>
    <w:rsid w:val="002E6FBD"/>
    <w:rsid w:val="002F05E9"/>
    <w:rsid w:val="002F183A"/>
    <w:rsid w:val="002F286B"/>
    <w:rsid w:val="002F53BC"/>
    <w:rsid w:val="002F60DF"/>
    <w:rsid w:val="0030244B"/>
    <w:rsid w:val="00302E9F"/>
    <w:rsid w:val="00302F87"/>
    <w:rsid w:val="00305CC1"/>
    <w:rsid w:val="00306E52"/>
    <w:rsid w:val="0031037A"/>
    <w:rsid w:val="00310778"/>
    <w:rsid w:val="0031216D"/>
    <w:rsid w:val="003126EF"/>
    <w:rsid w:val="003128D2"/>
    <w:rsid w:val="00312EB5"/>
    <w:rsid w:val="0031420B"/>
    <w:rsid w:val="00316234"/>
    <w:rsid w:val="00317FBD"/>
    <w:rsid w:val="00321321"/>
    <w:rsid w:val="003269B4"/>
    <w:rsid w:val="0032732D"/>
    <w:rsid w:val="0033158A"/>
    <w:rsid w:val="00334CD6"/>
    <w:rsid w:val="00337377"/>
    <w:rsid w:val="00337DAA"/>
    <w:rsid w:val="003414FF"/>
    <w:rsid w:val="00341A34"/>
    <w:rsid w:val="00345AEE"/>
    <w:rsid w:val="003463B3"/>
    <w:rsid w:val="0034645B"/>
    <w:rsid w:val="00350971"/>
    <w:rsid w:val="00350B7A"/>
    <w:rsid w:val="00350E8E"/>
    <w:rsid w:val="00355D5A"/>
    <w:rsid w:val="00356BD2"/>
    <w:rsid w:val="003612A4"/>
    <w:rsid w:val="00363C81"/>
    <w:rsid w:val="003648FB"/>
    <w:rsid w:val="003676D6"/>
    <w:rsid w:val="003713EA"/>
    <w:rsid w:val="0037364A"/>
    <w:rsid w:val="00375350"/>
    <w:rsid w:val="00376C8F"/>
    <w:rsid w:val="00384ACD"/>
    <w:rsid w:val="00390209"/>
    <w:rsid w:val="003919A9"/>
    <w:rsid w:val="00391D01"/>
    <w:rsid w:val="00392198"/>
    <w:rsid w:val="00393314"/>
    <w:rsid w:val="003937C0"/>
    <w:rsid w:val="0039522E"/>
    <w:rsid w:val="0039564B"/>
    <w:rsid w:val="00395ACD"/>
    <w:rsid w:val="00397C25"/>
    <w:rsid w:val="003A0463"/>
    <w:rsid w:val="003A1376"/>
    <w:rsid w:val="003A20F2"/>
    <w:rsid w:val="003A6699"/>
    <w:rsid w:val="003A67B7"/>
    <w:rsid w:val="003A7DFB"/>
    <w:rsid w:val="003B04C6"/>
    <w:rsid w:val="003B089D"/>
    <w:rsid w:val="003B46C1"/>
    <w:rsid w:val="003B5F17"/>
    <w:rsid w:val="003B7670"/>
    <w:rsid w:val="003C00A5"/>
    <w:rsid w:val="003D16C4"/>
    <w:rsid w:val="003D2D31"/>
    <w:rsid w:val="003D3A9D"/>
    <w:rsid w:val="003D7A35"/>
    <w:rsid w:val="003E1BCE"/>
    <w:rsid w:val="003E1C79"/>
    <w:rsid w:val="003E2799"/>
    <w:rsid w:val="003E2A69"/>
    <w:rsid w:val="003E3469"/>
    <w:rsid w:val="003E3FBE"/>
    <w:rsid w:val="003F1559"/>
    <w:rsid w:val="003F16BA"/>
    <w:rsid w:val="003F1C94"/>
    <w:rsid w:val="003F1C99"/>
    <w:rsid w:val="003F2E9C"/>
    <w:rsid w:val="003F3CF5"/>
    <w:rsid w:val="003F46E1"/>
    <w:rsid w:val="003F6A14"/>
    <w:rsid w:val="003F7E0D"/>
    <w:rsid w:val="004006A1"/>
    <w:rsid w:val="00400F8F"/>
    <w:rsid w:val="00401C12"/>
    <w:rsid w:val="00405423"/>
    <w:rsid w:val="00406705"/>
    <w:rsid w:val="0041120D"/>
    <w:rsid w:val="00411EA8"/>
    <w:rsid w:val="0041384D"/>
    <w:rsid w:val="0041406F"/>
    <w:rsid w:val="004169FF"/>
    <w:rsid w:val="004233D1"/>
    <w:rsid w:val="00426038"/>
    <w:rsid w:val="00427E63"/>
    <w:rsid w:val="00430154"/>
    <w:rsid w:val="00434024"/>
    <w:rsid w:val="004348C6"/>
    <w:rsid w:val="004354B9"/>
    <w:rsid w:val="00436BCA"/>
    <w:rsid w:val="00437249"/>
    <w:rsid w:val="00440149"/>
    <w:rsid w:val="00440FE6"/>
    <w:rsid w:val="0044147E"/>
    <w:rsid w:val="00442BE2"/>
    <w:rsid w:val="00446B65"/>
    <w:rsid w:val="00446C70"/>
    <w:rsid w:val="00447503"/>
    <w:rsid w:val="0045012B"/>
    <w:rsid w:val="0045356E"/>
    <w:rsid w:val="00461487"/>
    <w:rsid w:val="0046215A"/>
    <w:rsid w:val="004633DB"/>
    <w:rsid w:val="00463DC2"/>
    <w:rsid w:val="004655E0"/>
    <w:rsid w:val="0047026A"/>
    <w:rsid w:val="00472847"/>
    <w:rsid w:val="00480ADB"/>
    <w:rsid w:val="0048216B"/>
    <w:rsid w:val="00483E55"/>
    <w:rsid w:val="00486278"/>
    <w:rsid w:val="004906BC"/>
    <w:rsid w:val="0049394A"/>
    <w:rsid w:val="00494246"/>
    <w:rsid w:val="004945C4"/>
    <w:rsid w:val="0049730D"/>
    <w:rsid w:val="004A3FB2"/>
    <w:rsid w:val="004A61A8"/>
    <w:rsid w:val="004B01BD"/>
    <w:rsid w:val="004B040B"/>
    <w:rsid w:val="004B10DD"/>
    <w:rsid w:val="004B158B"/>
    <w:rsid w:val="004B317E"/>
    <w:rsid w:val="004B4B7F"/>
    <w:rsid w:val="004B56B5"/>
    <w:rsid w:val="004B6342"/>
    <w:rsid w:val="004B682A"/>
    <w:rsid w:val="004B6F2C"/>
    <w:rsid w:val="004B73BD"/>
    <w:rsid w:val="004C01D6"/>
    <w:rsid w:val="004C6E2F"/>
    <w:rsid w:val="004C7D50"/>
    <w:rsid w:val="004D0E53"/>
    <w:rsid w:val="004D1790"/>
    <w:rsid w:val="004D20EB"/>
    <w:rsid w:val="004D3C5A"/>
    <w:rsid w:val="004D529D"/>
    <w:rsid w:val="004E1ABB"/>
    <w:rsid w:val="004E1CA6"/>
    <w:rsid w:val="004E2DB6"/>
    <w:rsid w:val="004E6230"/>
    <w:rsid w:val="004F10AC"/>
    <w:rsid w:val="004F3423"/>
    <w:rsid w:val="0050074A"/>
    <w:rsid w:val="00500A5F"/>
    <w:rsid w:val="00503F0D"/>
    <w:rsid w:val="00510068"/>
    <w:rsid w:val="00510827"/>
    <w:rsid w:val="005179AE"/>
    <w:rsid w:val="00517EBD"/>
    <w:rsid w:val="00522AE8"/>
    <w:rsid w:val="005235E2"/>
    <w:rsid w:val="005246A8"/>
    <w:rsid w:val="00525118"/>
    <w:rsid w:val="00530CAF"/>
    <w:rsid w:val="00536DD0"/>
    <w:rsid w:val="00541304"/>
    <w:rsid w:val="00541615"/>
    <w:rsid w:val="0054216A"/>
    <w:rsid w:val="00545E10"/>
    <w:rsid w:val="00550006"/>
    <w:rsid w:val="00551345"/>
    <w:rsid w:val="0055341A"/>
    <w:rsid w:val="005542E0"/>
    <w:rsid w:val="0055781E"/>
    <w:rsid w:val="00565C43"/>
    <w:rsid w:val="00565EEB"/>
    <w:rsid w:val="00570DA7"/>
    <w:rsid w:val="00572285"/>
    <w:rsid w:val="0057514A"/>
    <w:rsid w:val="00576AB1"/>
    <w:rsid w:val="00581E42"/>
    <w:rsid w:val="00582248"/>
    <w:rsid w:val="00582299"/>
    <w:rsid w:val="0058439D"/>
    <w:rsid w:val="00585ADB"/>
    <w:rsid w:val="005907B6"/>
    <w:rsid w:val="00596C1F"/>
    <w:rsid w:val="005A4D7A"/>
    <w:rsid w:val="005A7000"/>
    <w:rsid w:val="005A7777"/>
    <w:rsid w:val="005A777D"/>
    <w:rsid w:val="005B0A12"/>
    <w:rsid w:val="005B1138"/>
    <w:rsid w:val="005B7086"/>
    <w:rsid w:val="005C4004"/>
    <w:rsid w:val="005C4C0C"/>
    <w:rsid w:val="005C70F6"/>
    <w:rsid w:val="005D29EF"/>
    <w:rsid w:val="005D2B64"/>
    <w:rsid w:val="005D37E8"/>
    <w:rsid w:val="005D4419"/>
    <w:rsid w:val="005D48E0"/>
    <w:rsid w:val="005D5403"/>
    <w:rsid w:val="005E3DC3"/>
    <w:rsid w:val="005E53B8"/>
    <w:rsid w:val="005E5CDB"/>
    <w:rsid w:val="005F085B"/>
    <w:rsid w:val="005F3CDC"/>
    <w:rsid w:val="00602A43"/>
    <w:rsid w:val="00603CBA"/>
    <w:rsid w:val="0060785B"/>
    <w:rsid w:val="00607D87"/>
    <w:rsid w:val="006126E2"/>
    <w:rsid w:val="006133AF"/>
    <w:rsid w:val="0061454C"/>
    <w:rsid w:val="00614777"/>
    <w:rsid w:val="00617518"/>
    <w:rsid w:val="006212E7"/>
    <w:rsid w:val="00624989"/>
    <w:rsid w:val="00625475"/>
    <w:rsid w:val="006312A6"/>
    <w:rsid w:val="006334B3"/>
    <w:rsid w:val="006345EC"/>
    <w:rsid w:val="006358B4"/>
    <w:rsid w:val="00635CC0"/>
    <w:rsid w:val="00643EFC"/>
    <w:rsid w:val="00646519"/>
    <w:rsid w:val="00650456"/>
    <w:rsid w:val="00651661"/>
    <w:rsid w:val="00651C0C"/>
    <w:rsid w:val="006522CB"/>
    <w:rsid w:val="00654D61"/>
    <w:rsid w:val="00656189"/>
    <w:rsid w:val="0065777F"/>
    <w:rsid w:val="006621C8"/>
    <w:rsid w:val="0066397C"/>
    <w:rsid w:val="00664246"/>
    <w:rsid w:val="00664375"/>
    <w:rsid w:val="0066779B"/>
    <w:rsid w:val="00671F28"/>
    <w:rsid w:val="00673AC8"/>
    <w:rsid w:val="0068119E"/>
    <w:rsid w:val="0068137D"/>
    <w:rsid w:val="0068294A"/>
    <w:rsid w:val="00684658"/>
    <w:rsid w:val="00684BCF"/>
    <w:rsid w:val="00686691"/>
    <w:rsid w:val="006871EE"/>
    <w:rsid w:val="00687741"/>
    <w:rsid w:val="00690749"/>
    <w:rsid w:val="00690812"/>
    <w:rsid w:val="00690BD4"/>
    <w:rsid w:val="00692503"/>
    <w:rsid w:val="00693119"/>
    <w:rsid w:val="00693980"/>
    <w:rsid w:val="00694EE5"/>
    <w:rsid w:val="006967A1"/>
    <w:rsid w:val="006978AD"/>
    <w:rsid w:val="006A3152"/>
    <w:rsid w:val="006A6E0A"/>
    <w:rsid w:val="006B2068"/>
    <w:rsid w:val="006B30B6"/>
    <w:rsid w:val="006C4C49"/>
    <w:rsid w:val="006C662C"/>
    <w:rsid w:val="006C66F5"/>
    <w:rsid w:val="006D7540"/>
    <w:rsid w:val="006D7B81"/>
    <w:rsid w:val="006E3078"/>
    <w:rsid w:val="006E4F06"/>
    <w:rsid w:val="006E58AE"/>
    <w:rsid w:val="006E65FF"/>
    <w:rsid w:val="006F1C05"/>
    <w:rsid w:val="006F4D38"/>
    <w:rsid w:val="006F623A"/>
    <w:rsid w:val="007036FF"/>
    <w:rsid w:val="00706847"/>
    <w:rsid w:val="00707C19"/>
    <w:rsid w:val="00710177"/>
    <w:rsid w:val="00715755"/>
    <w:rsid w:val="00717EC6"/>
    <w:rsid w:val="00725659"/>
    <w:rsid w:val="00726400"/>
    <w:rsid w:val="007356A8"/>
    <w:rsid w:val="00735D94"/>
    <w:rsid w:val="00743437"/>
    <w:rsid w:val="00743671"/>
    <w:rsid w:val="00744F95"/>
    <w:rsid w:val="00745335"/>
    <w:rsid w:val="00745A88"/>
    <w:rsid w:val="00745DDE"/>
    <w:rsid w:val="00751708"/>
    <w:rsid w:val="00751B16"/>
    <w:rsid w:val="0075667E"/>
    <w:rsid w:val="00757882"/>
    <w:rsid w:val="007604BD"/>
    <w:rsid w:val="0076159A"/>
    <w:rsid w:val="00763074"/>
    <w:rsid w:val="007645BC"/>
    <w:rsid w:val="00766A26"/>
    <w:rsid w:val="00771BAA"/>
    <w:rsid w:val="007732FE"/>
    <w:rsid w:val="00774077"/>
    <w:rsid w:val="00781B19"/>
    <w:rsid w:val="00782208"/>
    <w:rsid w:val="00782EBD"/>
    <w:rsid w:val="0078426C"/>
    <w:rsid w:val="0078604C"/>
    <w:rsid w:val="00797CDD"/>
    <w:rsid w:val="007A30D7"/>
    <w:rsid w:val="007A4D77"/>
    <w:rsid w:val="007A5964"/>
    <w:rsid w:val="007A7354"/>
    <w:rsid w:val="007B2FED"/>
    <w:rsid w:val="007C312C"/>
    <w:rsid w:val="007C5075"/>
    <w:rsid w:val="007C5FC8"/>
    <w:rsid w:val="007C6ADB"/>
    <w:rsid w:val="007C7407"/>
    <w:rsid w:val="007D021B"/>
    <w:rsid w:val="007D3D7E"/>
    <w:rsid w:val="007E2071"/>
    <w:rsid w:val="007E4A9B"/>
    <w:rsid w:val="007E531D"/>
    <w:rsid w:val="007E61CA"/>
    <w:rsid w:val="007F13A7"/>
    <w:rsid w:val="007F1BFF"/>
    <w:rsid w:val="007F548B"/>
    <w:rsid w:val="007F6C87"/>
    <w:rsid w:val="00800AA5"/>
    <w:rsid w:val="00804E6A"/>
    <w:rsid w:val="008059A6"/>
    <w:rsid w:val="00806DA7"/>
    <w:rsid w:val="0081259F"/>
    <w:rsid w:val="0081551A"/>
    <w:rsid w:val="0082157B"/>
    <w:rsid w:val="008332ED"/>
    <w:rsid w:val="008350EF"/>
    <w:rsid w:val="008352B8"/>
    <w:rsid w:val="0084029F"/>
    <w:rsid w:val="00844403"/>
    <w:rsid w:val="00852DB5"/>
    <w:rsid w:val="00855D94"/>
    <w:rsid w:val="00861F9C"/>
    <w:rsid w:val="0086470B"/>
    <w:rsid w:val="00865937"/>
    <w:rsid w:val="00866CC9"/>
    <w:rsid w:val="00870ED5"/>
    <w:rsid w:val="0087256C"/>
    <w:rsid w:val="00880747"/>
    <w:rsid w:val="00890055"/>
    <w:rsid w:val="00890C2B"/>
    <w:rsid w:val="0089437C"/>
    <w:rsid w:val="00895640"/>
    <w:rsid w:val="008978E6"/>
    <w:rsid w:val="008A0B77"/>
    <w:rsid w:val="008A13E0"/>
    <w:rsid w:val="008A4817"/>
    <w:rsid w:val="008B5ABF"/>
    <w:rsid w:val="008B6914"/>
    <w:rsid w:val="008C0425"/>
    <w:rsid w:val="008C362C"/>
    <w:rsid w:val="008D070F"/>
    <w:rsid w:val="008D7EA3"/>
    <w:rsid w:val="008E05A8"/>
    <w:rsid w:val="008E1D64"/>
    <w:rsid w:val="008E7622"/>
    <w:rsid w:val="008F2857"/>
    <w:rsid w:val="008F555E"/>
    <w:rsid w:val="009000AB"/>
    <w:rsid w:val="00900FA8"/>
    <w:rsid w:val="0090407F"/>
    <w:rsid w:val="00916FBE"/>
    <w:rsid w:val="0092009B"/>
    <w:rsid w:val="0092043A"/>
    <w:rsid w:val="00927BE1"/>
    <w:rsid w:val="00933812"/>
    <w:rsid w:val="009371D8"/>
    <w:rsid w:val="0093779C"/>
    <w:rsid w:val="00944FD8"/>
    <w:rsid w:val="00946125"/>
    <w:rsid w:val="009537B3"/>
    <w:rsid w:val="009539AD"/>
    <w:rsid w:val="00955031"/>
    <w:rsid w:val="00955404"/>
    <w:rsid w:val="0095610F"/>
    <w:rsid w:val="00956603"/>
    <w:rsid w:val="00956C94"/>
    <w:rsid w:val="009649BC"/>
    <w:rsid w:val="009662B4"/>
    <w:rsid w:val="0096760A"/>
    <w:rsid w:val="00970CB3"/>
    <w:rsid w:val="00973C82"/>
    <w:rsid w:val="0097512A"/>
    <w:rsid w:val="009771F7"/>
    <w:rsid w:val="009836AE"/>
    <w:rsid w:val="009856EF"/>
    <w:rsid w:val="00994144"/>
    <w:rsid w:val="00994226"/>
    <w:rsid w:val="009A304E"/>
    <w:rsid w:val="009A35C7"/>
    <w:rsid w:val="009A3715"/>
    <w:rsid w:val="009A3D40"/>
    <w:rsid w:val="009A5E66"/>
    <w:rsid w:val="009A7838"/>
    <w:rsid w:val="009B04BD"/>
    <w:rsid w:val="009B14B0"/>
    <w:rsid w:val="009B2188"/>
    <w:rsid w:val="009B4BAB"/>
    <w:rsid w:val="009B76FE"/>
    <w:rsid w:val="009B77C1"/>
    <w:rsid w:val="009C0AD8"/>
    <w:rsid w:val="009C18C8"/>
    <w:rsid w:val="009D4C6C"/>
    <w:rsid w:val="009D5DC1"/>
    <w:rsid w:val="009E026D"/>
    <w:rsid w:val="009E057B"/>
    <w:rsid w:val="009E0ABA"/>
    <w:rsid w:val="009E0C7B"/>
    <w:rsid w:val="009E136D"/>
    <w:rsid w:val="009E2C74"/>
    <w:rsid w:val="009E41AC"/>
    <w:rsid w:val="009F1254"/>
    <w:rsid w:val="009F1EE6"/>
    <w:rsid w:val="009F328A"/>
    <w:rsid w:val="009F45AE"/>
    <w:rsid w:val="009F5882"/>
    <w:rsid w:val="00A113D8"/>
    <w:rsid w:val="00A15259"/>
    <w:rsid w:val="00A15ED3"/>
    <w:rsid w:val="00A17652"/>
    <w:rsid w:val="00A20B1A"/>
    <w:rsid w:val="00A24270"/>
    <w:rsid w:val="00A264C8"/>
    <w:rsid w:val="00A27121"/>
    <w:rsid w:val="00A33B64"/>
    <w:rsid w:val="00A33DFA"/>
    <w:rsid w:val="00A34C5A"/>
    <w:rsid w:val="00A4296D"/>
    <w:rsid w:val="00A43366"/>
    <w:rsid w:val="00A43779"/>
    <w:rsid w:val="00A4642F"/>
    <w:rsid w:val="00A51299"/>
    <w:rsid w:val="00A55111"/>
    <w:rsid w:val="00A55CD9"/>
    <w:rsid w:val="00A55D96"/>
    <w:rsid w:val="00A61D81"/>
    <w:rsid w:val="00A648DF"/>
    <w:rsid w:val="00A72B47"/>
    <w:rsid w:val="00A7475A"/>
    <w:rsid w:val="00A77D68"/>
    <w:rsid w:val="00A800BF"/>
    <w:rsid w:val="00A81FE3"/>
    <w:rsid w:val="00A831D8"/>
    <w:rsid w:val="00A83860"/>
    <w:rsid w:val="00A83ECD"/>
    <w:rsid w:val="00A87CA1"/>
    <w:rsid w:val="00A9221D"/>
    <w:rsid w:val="00AA0954"/>
    <w:rsid w:val="00AA243F"/>
    <w:rsid w:val="00AA285B"/>
    <w:rsid w:val="00AA30A6"/>
    <w:rsid w:val="00AA3FA5"/>
    <w:rsid w:val="00AB2355"/>
    <w:rsid w:val="00AB5B60"/>
    <w:rsid w:val="00AB66E0"/>
    <w:rsid w:val="00AB6AAC"/>
    <w:rsid w:val="00AC1FE7"/>
    <w:rsid w:val="00AC6CF4"/>
    <w:rsid w:val="00AC719A"/>
    <w:rsid w:val="00AD233D"/>
    <w:rsid w:val="00AD2F06"/>
    <w:rsid w:val="00AD39A2"/>
    <w:rsid w:val="00AD4C7B"/>
    <w:rsid w:val="00AD5601"/>
    <w:rsid w:val="00AD681C"/>
    <w:rsid w:val="00AE1292"/>
    <w:rsid w:val="00AE201D"/>
    <w:rsid w:val="00AE2D98"/>
    <w:rsid w:val="00AE429D"/>
    <w:rsid w:val="00AE480F"/>
    <w:rsid w:val="00AE640F"/>
    <w:rsid w:val="00AE7A15"/>
    <w:rsid w:val="00AF3D0A"/>
    <w:rsid w:val="00AF4DB5"/>
    <w:rsid w:val="00AF549A"/>
    <w:rsid w:val="00AF5526"/>
    <w:rsid w:val="00AF58EC"/>
    <w:rsid w:val="00B01F42"/>
    <w:rsid w:val="00B03919"/>
    <w:rsid w:val="00B1049C"/>
    <w:rsid w:val="00B11A35"/>
    <w:rsid w:val="00B11FF9"/>
    <w:rsid w:val="00B1216B"/>
    <w:rsid w:val="00B17373"/>
    <w:rsid w:val="00B22029"/>
    <w:rsid w:val="00B223FE"/>
    <w:rsid w:val="00B22F3F"/>
    <w:rsid w:val="00B2319D"/>
    <w:rsid w:val="00B23941"/>
    <w:rsid w:val="00B33738"/>
    <w:rsid w:val="00B3518D"/>
    <w:rsid w:val="00B40A62"/>
    <w:rsid w:val="00B41DB3"/>
    <w:rsid w:val="00B43B15"/>
    <w:rsid w:val="00B44BAA"/>
    <w:rsid w:val="00B45D95"/>
    <w:rsid w:val="00B45F49"/>
    <w:rsid w:val="00B52494"/>
    <w:rsid w:val="00B53884"/>
    <w:rsid w:val="00B54829"/>
    <w:rsid w:val="00B568E0"/>
    <w:rsid w:val="00B57BE2"/>
    <w:rsid w:val="00B602F2"/>
    <w:rsid w:val="00B61E1C"/>
    <w:rsid w:val="00B628A5"/>
    <w:rsid w:val="00B631EE"/>
    <w:rsid w:val="00B6330D"/>
    <w:rsid w:val="00B6391E"/>
    <w:rsid w:val="00B65351"/>
    <w:rsid w:val="00B678AE"/>
    <w:rsid w:val="00B75FCD"/>
    <w:rsid w:val="00B802E2"/>
    <w:rsid w:val="00B80E31"/>
    <w:rsid w:val="00B821E2"/>
    <w:rsid w:val="00B83F70"/>
    <w:rsid w:val="00B8536B"/>
    <w:rsid w:val="00B85943"/>
    <w:rsid w:val="00B869D8"/>
    <w:rsid w:val="00B87B13"/>
    <w:rsid w:val="00B90284"/>
    <w:rsid w:val="00B90BAF"/>
    <w:rsid w:val="00B9117C"/>
    <w:rsid w:val="00BA55BE"/>
    <w:rsid w:val="00BB03DD"/>
    <w:rsid w:val="00BB13BE"/>
    <w:rsid w:val="00BC1321"/>
    <w:rsid w:val="00BC5352"/>
    <w:rsid w:val="00BD2C84"/>
    <w:rsid w:val="00BD2FF4"/>
    <w:rsid w:val="00BD7A74"/>
    <w:rsid w:val="00BE2548"/>
    <w:rsid w:val="00BE36FF"/>
    <w:rsid w:val="00BE5E41"/>
    <w:rsid w:val="00BF2527"/>
    <w:rsid w:val="00BF2A19"/>
    <w:rsid w:val="00BF43C2"/>
    <w:rsid w:val="00BF7893"/>
    <w:rsid w:val="00BF7BFC"/>
    <w:rsid w:val="00C03FF2"/>
    <w:rsid w:val="00C06CD9"/>
    <w:rsid w:val="00C06DF5"/>
    <w:rsid w:val="00C12098"/>
    <w:rsid w:val="00C1322C"/>
    <w:rsid w:val="00C13DF8"/>
    <w:rsid w:val="00C14F18"/>
    <w:rsid w:val="00C15C85"/>
    <w:rsid w:val="00C16E9B"/>
    <w:rsid w:val="00C20D4D"/>
    <w:rsid w:val="00C301FD"/>
    <w:rsid w:val="00C31D2A"/>
    <w:rsid w:val="00C45974"/>
    <w:rsid w:val="00C45AD7"/>
    <w:rsid w:val="00C52288"/>
    <w:rsid w:val="00C56A7B"/>
    <w:rsid w:val="00C57737"/>
    <w:rsid w:val="00C62A45"/>
    <w:rsid w:val="00C63D1E"/>
    <w:rsid w:val="00C659C4"/>
    <w:rsid w:val="00C65BAF"/>
    <w:rsid w:val="00C704A0"/>
    <w:rsid w:val="00C71FB5"/>
    <w:rsid w:val="00C72B2F"/>
    <w:rsid w:val="00C74E5B"/>
    <w:rsid w:val="00C77795"/>
    <w:rsid w:val="00C821E4"/>
    <w:rsid w:val="00C82738"/>
    <w:rsid w:val="00C83510"/>
    <w:rsid w:val="00C835A5"/>
    <w:rsid w:val="00C87CDA"/>
    <w:rsid w:val="00C90A12"/>
    <w:rsid w:val="00C91487"/>
    <w:rsid w:val="00C9237D"/>
    <w:rsid w:val="00C92C93"/>
    <w:rsid w:val="00C947DC"/>
    <w:rsid w:val="00CA0E43"/>
    <w:rsid w:val="00CA4A61"/>
    <w:rsid w:val="00CA68DA"/>
    <w:rsid w:val="00CB4EA4"/>
    <w:rsid w:val="00CC074F"/>
    <w:rsid w:val="00CC3CCE"/>
    <w:rsid w:val="00CD12E4"/>
    <w:rsid w:val="00CD1DCF"/>
    <w:rsid w:val="00CD205D"/>
    <w:rsid w:val="00CD2266"/>
    <w:rsid w:val="00CD551B"/>
    <w:rsid w:val="00CD67B2"/>
    <w:rsid w:val="00CD78E8"/>
    <w:rsid w:val="00CE37B8"/>
    <w:rsid w:val="00CE42F4"/>
    <w:rsid w:val="00CE6CD3"/>
    <w:rsid w:val="00CE71F7"/>
    <w:rsid w:val="00CF03B8"/>
    <w:rsid w:val="00CF2014"/>
    <w:rsid w:val="00CF2C19"/>
    <w:rsid w:val="00CF2F9C"/>
    <w:rsid w:val="00CF3048"/>
    <w:rsid w:val="00CF3683"/>
    <w:rsid w:val="00CF514A"/>
    <w:rsid w:val="00CF7486"/>
    <w:rsid w:val="00D0115D"/>
    <w:rsid w:val="00D03463"/>
    <w:rsid w:val="00D03DA6"/>
    <w:rsid w:val="00D0647B"/>
    <w:rsid w:val="00D11D6C"/>
    <w:rsid w:val="00D1468B"/>
    <w:rsid w:val="00D17074"/>
    <w:rsid w:val="00D229F7"/>
    <w:rsid w:val="00D22B29"/>
    <w:rsid w:val="00D233F5"/>
    <w:rsid w:val="00D256EE"/>
    <w:rsid w:val="00D27A4B"/>
    <w:rsid w:val="00D308EA"/>
    <w:rsid w:val="00D34EB7"/>
    <w:rsid w:val="00D3556F"/>
    <w:rsid w:val="00D375C6"/>
    <w:rsid w:val="00D411BC"/>
    <w:rsid w:val="00D442D8"/>
    <w:rsid w:val="00D454A3"/>
    <w:rsid w:val="00D45BC9"/>
    <w:rsid w:val="00D4619C"/>
    <w:rsid w:val="00D47D22"/>
    <w:rsid w:val="00D50D83"/>
    <w:rsid w:val="00D529EC"/>
    <w:rsid w:val="00D52F95"/>
    <w:rsid w:val="00D53AC2"/>
    <w:rsid w:val="00D546E2"/>
    <w:rsid w:val="00D5556E"/>
    <w:rsid w:val="00D56C36"/>
    <w:rsid w:val="00D57389"/>
    <w:rsid w:val="00D60C39"/>
    <w:rsid w:val="00D610A0"/>
    <w:rsid w:val="00D67CA0"/>
    <w:rsid w:val="00D7118C"/>
    <w:rsid w:val="00D73B56"/>
    <w:rsid w:val="00D8078C"/>
    <w:rsid w:val="00D8336B"/>
    <w:rsid w:val="00D85FA4"/>
    <w:rsid w:val="00D87D6E"/>
    <w:rsid w:val="00D87F89"/>
    <w:rsid w:val="00D91253"/>
    <w:rsid w:val="00D94006"/>
    <w:rsid w:val="00D94EAA"/>
    <w:rsid w:val="00D952FF"/>
    <w:rsid w:val="00D9603F"/>
    <w:rsid w:val="00D96C7F"/>
    <w:rsid w:val="00D978CD"/>
    <w:rsid w:val="00DA3D80"/>
    <w:rsid w:val="00DA487D"/>
    <w:rsid w:val="00DA4CCD"/>
    <w:rsid w:val="00DA67EF"/>
    <w:rsid w:val="00DA6877"/>
    <w:rsid w:val="00DA68EE"/>
    <w:rsid w:val="00DB3F3F"/>
    <w:rsid w:val="00DC02B4"/>
    <w:rsid w:val="00DC2F58"/>
    <w:rsid w:val="00DC31A1"/>
    <w:rsid w:val="00DC67DE"/>
    <w:rsid w:val="00DD0051"/>
    <w:rsid w:val="00DD316A"/>
    <w:rsid w:val="00DD53F9"/>
    <w:rsid w:val="00DD5F5C"/>
    <w:rsid w:val="00DD6155"/>
    <w:rsid w:val="00DD6400"/>
    <w:rsid w:val="00DD6846"/>
    <w:rsid w:val="00DD7ABA"/>
    <w:rsid w:val="00DE07AE"/>
    <w:rsid w:val="00DE0E4F"/>
    <w:rsid w:val="00DE1A4B"/>
    <w:rsid w:val="00DE21C8"/>
    <w:rsid w:val="00DE4B06"/>
    <w:rsid w:val="00DE72E7"/>
    <w:rsid w:val="00DF0BEC"/>
    <w:rsid w:val="00DF1C6B"/>
    <w:rsid w:val="00E00E80"/>
    <w:rsid w:val="00E0317A"/>
    <w:rsid w:val="00E104FA"/>
    <w:rsid w:val="00E1187C"/>
    <w:rsid w:val="00E120FB"/>
    <w:rsid w:val="00E13D2B"/>
    <w:rsid w:val="00E169E5"/>
    <w:rsid w:val="00E240E4"/>
    <w:rsid w:val="00E24E67"/>
    <w:rsid w:val="00E26252"/>
    <w:rsid w:val="00E265C2"/>
    <w:rsid w:val="00E27476"/>
    <w:rsid w:val="00E3427A"/>
    <w:rsid w:val="00E426B2"/>
    <w:rsid w:val="00E43430"/>
    <w:rsid w:val="00E43CF6"/>
    <w:rsid w:val="00E44C2B"/>
    <w:rsid w:val="00E468F7"/>
    <w:rsid w:val="00E529ED"/>
    <w:rsid w:val="00E56569"/>
    <w:rsid w:val="00E63094"/>
    <w:rsid w:val="00E631D6"/>
    <w:rsid w:val="00E6468D"/>
    <w:rsid w:val="00E64C4F"/>
    <w:rsid w:val="00E658BB"/>
    <w:rsid w:val="00E65C6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86A7B"/>
    <w:rsid w:val="00E910DB"/>
    <w:rsid w:val="00E91E91"/>
    <w:rsid w:val="00E9212C"/>
    <w:rsid w:val="00E94DC2"/>
    <w:rsid w:val="00E97E42"/>
    <w:rsid w:val="00EA0B2D"/>
    <w:rsid w:val="00EA4B21"/>
    <w:rsid w:val="00EA54ED"/>
    <w:rsid w:val="00EA6B9F"/>
    <w:rsid w:val="00EA6D42"/>
    <w:rsid w:val="00EB09DB"/>
    <w:rsid w:val="00EB17A0"/>
    <w:rsid w:val="00EB1E51"/>
    <w:rsid w:val="00EB1F7C"/>
    <w:rsid w:val="00EB6CEF"/>
    <w:rsid w:val="00EB7F34"/>
    <w:rsid w:val="00EC2011"/>
    <w:rsid w:val="00EC704D"/>
    <w:rsid w:val="00ED1097"/>
    <w:rsid w:val="00ED1587"/>
    <w:rsid w:val="00ED46AD"/>
    <w:rsid w:val="00ED4F11"/>
    <w:rsid w:val="00EE11FB"/>
    <w:rsid w:val="00EE7F03"/>
    <w:rsid w:val="00EF1459"/>
    <w:rsid w:val="00EF26A1"/>
    <w:rsid w:val="00EF542B"/>
    <w:rsid w:val="00F05724"/>
    <w:rsid w:val="00F07E1B"/>
    <w:rsid w:val="00F116E5"/>
    <w:rsid w:val="00F118C4"/>
    <w:rsid w:val="00F118D2"/>
    <w:rsid w:val="00F12BF1"/>
    <w:rsid w:val="00F14307"/>
    <w:rsid w:val="00F14FD6"/>
    <w:rsid w:val="00F17ED1"/>
    <w:rsid w:val="00F218E9"/>
    <w:rsid w:val="00F32BA5"/>
    <w:rsid w:val="00F36E16"/>
    <w:rsid w:val="00F42E41"/>
    <w:rsid w:val="00F43344"/>
    <w:rsid w:val="00F44761"/>
    <w:rsid w:val="00F450C2"/>
    <w:rsid w:val="00F453BB"/>
    <w:rsid w:val="00F53443"/>
    <w:rsid w:val="00F569B2"/>
    <w:rsid w:val="00F632E0"/>
    <w:rsid w:val="00F67590"/>
    <w:rsid w:val="00F707A7"/>
    <w:rsid w:val="00F71DAB"/>
    <w:rsid w:val="00F7408D"/>
    <w:rsid w:val="00F80868"/>
    <w:rsid w:val="00F917C5"/>
    <w:rsid w:val="00F926A8"/>
    <w:rsid w:val="00F933D8"/>
    <w:rsid w:val="00F93D82"/>
    <w:rsid w:val="00F97F74"/>
    <w:rsid w:val="00FA51E7"/>
    <w:rsid w:val="00FB14D5"/>
    <w:rsid w:val="00FB4552"/>
    <w:rsid w:val="00FB762D"/>
    <w:rsid w:val="00FC1427"/>
    <w:rsid w:val="00FC2AF6"/>
    <w:rsid w:val="00FC30B9"/>
    <w:rsid w:val="00FC3D61"/>
    <w:rsid w:val="00FC70A6"/>
    <w:rsid w:val="00FD00F3"/>
    <w:rsid w:val="00FD1B1A"/>
    <w:rsid w:val="00FD1BB0"/>
    <w:rsid w:val="00FD5E8E"/>
    <w:rsid w:val="00FD5FDC"/>
    <w:rsid w:val="00FE0D64"/>
    <w:rsid w:val="00FE23F2"/>
    <w:rsid w:val="00FE2D6C"/>
    <w:rsid w:val="00FE2D89"/>
    <w:rsid w:val="00FE37F9"/>
    <w:rsid w:val="00FE3D99"/>
    <w:rsid w:val="00FE7983"/>
    <w:rsid w:val="00FE7EAA"/>
    <w:rsid w:val="00FF17A2"/>
    <w:rsid w:val="00FF2DDE"/>
    <w:rsid w:val="00FF50D1"/>
    <w:rsid w:val="00FF657B"/>
    <w:rsid w:val="00FF72D2"/>
    <w:rsid w:val="00FF74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CC121"/>
  <w15:docId w15:val="{7E1AC751-1D3D-4844-9634-7EB1EE427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eastAsia="en-ZW"/>
    </w:rPr>
  </w:style>
  <w:style w:type="paragraph" w:customStyle="1" w:styleId="ll">
    <w:name w:val="ll"/>
    <w:basedOn w:val="Normal"/>
    <w:rsid w:val="00B678AE"/>
    <w:pPr>
      <w:spacing w:before="100" w:beforeAutospacing="1" w:after="100" w:afterAutospacing="1"/>
    </w:pPr>
    <w:rPr>
      <w:lang w:eastAsia="en-ZW"/>
    </w:rPr>
  </w:style>
  <w:style w:type="paragraph" w:customStyle="1" w:styleId="test">
    <w:name w:val="test"/>
    <w:basedOn w:val="Normal"/>
    <w:rsid w:val="00B678AE"/>
    <w:pPr>
      <w:spacing w:before="100" w:beforeAutospacing="1" w:after="100" w:afterAutospacing="1"/>
    </w:pPr>
    <w:rPr>
      <w:lang w:eastAsia="en-ZW"/>
    </w:rPr>
  </w:style>
  <w:style w:type="paragraph" w:customStyle="1" w:styleId="h1">
    <w:name w:val="h1"/>
    <w:basedOn w:val="Normal"/>
    <w:rsid w:val="00160404"/>
    <w:pPr>
      <w:spacing w:before="100" w:beforeAutospacing="1" w:after="100" w:afterAutospacing="1"/>
    </w:pPr>
    <w:rPr>
      <w:lang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eastAsia="en-ZW"/>
    </w:rPr>
  </w:style>
  <w:style w:type="paragraph" w:styleId="NormalWeb">
    <w:name w:val="Normal (Web)"/>
    <w:basedOn w:val="Normal"/>
    <w:uiPriority w:val="99"/>
    <w:semiHidden/>
    <w:unhideWhenUsed/>
    <w:rsid w:val="009E026D"/>
    <w:pPr>
      <w:spacing w:before="100" w:beforeAutospacing="1" w:after="100" w:afterAutospacing="1"/>
    </w:pPr>
    <w:rPr>
      <w:lang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2024-05-14T09:13:00Z</cp:lastPrinted>
  <dcterms:created xsi:type="dcterms:W3CDTF">2024-05-31T09:38:00Z</dcterms:created>
  <dcterms:modified xsi:type="dcterms:W3CDTF">2024-05-31T09:38:00Z</dcterms:modified>
</cp:coreProperties>
</file>